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26D" w:rsidRPr="0013226D" w:rsidRDefault="0013226D" w:rsidP="0013226D">
      <w:pPr>
        <w:spacing w:line="240" w:lineRule="auto"/>
        <w:rPr>
          <w:rFonts w:ascii="Times New Roman" w:hAnsi="Times New Roman" w:cs="Times New Roman"/>
          <w:sz w:val="28"/>
          <w:szCs w:val="28"/>
          <w:lang w:val="uk-UA"/>
        </w:rPr>
      </w:pPr>
      <w:r w:rsidRPr="0013226D">
        <w:rPr>
          <w:rFonts w:ascii="Times New Roman" w:hAnsi="Times New Roman" w:cs="Times New Roman"/>
          <w:sz w:val="28"/>
          <w:szCs w:val="28"/>
          <w:lang w:val="uk-UA"/>
        </w:rPr>
        <w:t xml:space="preserve">УДК 378.147.34: 347.78(073.8) </w:t>
      </w:r>
    </w:p>
    <w:p w:rsidR="0013226D" w:rsidRPr="0013226D" w:rsidRDefault="0013226D" w:rsidP="0013226D">
      <w:pPr>
        <w:spacing w:line="240" w:lineRule="auto"/>
        <w:rPr>
          <w:rFonts w:ascii="Times New Roman" w:hAnsi="Times New Roman" w:cs="Times New Roman"/>
          <w:sz w:val="28"/>
          <w:szCs w:val="28"/>
          <w:lang w:val="uk-UA"/>
        </w:rPr>
      </w:pPr>
      <w:r w:rsidRPr="0013226D">
        <w:rPr>
          <w:rFonts w:ascii="Times New Roman" w:hAnsi="Times New Roman" w:cs="Times New Roman"/>
          <w:sz w:val="28"/>
          <w:szCs w:val="28"/>
          <w:lang w:val="uk-UA"/>
        </w:rPr>
        <w:t>Науменко Д.П., Чікін С.В.</w:t>
      </w:r>
    </w:p>
    <w:p w:rsidR="0013226D" w:rsidRPr="0013226D" w:rsidRDefault="0013226D" w:rsidP="0013226D">
      <w:pPr>
        <w:spacing w:line="240" w:lineRule="auto"/>
        <w:rPr>
          <w:rFonts w:ascii="Times New Roman" w:hAnsi="Times New Roman" w:cs="Times New Roman"/>
          <w:sz w:val="28"/>
          <w:szCs w:val="28"/>
          <w:lang w:val="uk-UA"/>
        </w:rPr>
      </w:pPr>
      <w:r w:rsidRPr="0013226D">
        <w:rPr>
          <w:rFonts w:ascii="Times New Roman" w:hAnsi="Times New Roman" w:cs="Times New Roman"/>
          <w:sz w:val="28"/>
          <w:szCs w:val="28"/>
          <w:lang w:val="uk-UA"/>
        </w:rPr>
        <w:t>Національний технічний університет України «Київський політехнічний інститут імені Ігоря Сікорського», м. Київ, Україна</w:t>
      </w:r>
    </w:p>
    <w:p w:rsidR="0013226D" w:rsidRPr="0013226D" w:rsidRDefault="0013226D">
      <w:pPr>
        <w:rPr>
          <w:rFonts w:ascii="Times New Roman" w:hAnsi="Times New Roman" w:cs="Times New Roman"/>
          <w:sz w:val="28"/>
          <w:szCs w:val="28"/>
          <w:lang w:val="uk-UA"/>
        </w:rPr>
      </w:pPr>
    </w:p>
    <w:p w:rsidR="0013226D" w:rsidRPr="0013226D" w:rsidRDefault="0013226D" w:rsidP="0013226D">
      <w:pPr>
        <w:spacing w:line="240" w:lineRule="auto"/>
        <w:jc w:val="center"/>
        <w:rPr>
          <w:rFonts w:ascii="Times New Roman" w:hAnsi="Times New Roman" w:cs="Times New Roman"/>
          <w:b/>
          <w:sz w:val="28"/>
          <w:szCs w:val="28"/>
          <w:lang w:val="uk-UA"/>
        </w:rPr>
      </w:pPr>
      <w:r w:rsidRPr="0013226D">
        <w:rPr>
          <w:rFonts w:ascii="Times New Roman" w:hAnsi="Times New Roman" w:cs="Times New Roman"/>
          <w:b/>
          <w:sz w:val="28"/>
          <w:szCs w:val="28"/>
          <w:lang w:val="uk-UA"/>
        </w:rPr>
        <w:t>Встановлення часових меж операції по внесенню майнових прав інтелектуальної власності до статутного капіталу господарського товариства</w:t>
      </w:r>
    </w:p>
    <w:p w:rsidR="0013226D" w:rsidRPr="0013226D" w:rsidRDefault="0013226D" w:rsidP="0013226D">
      <w:pPr>
        <w:jc w:val="center"/>
        <w:rPr>
          <w:rFonts w:ascii="Times New Roman" w:hAnsi="Times New Roman" w:cs="Times New Roman"/>
          <w:b/>
          <w:sz w:val="28"/>
          <w:szCs w:val="28"/>
          <w:lang w:val="uk-UA"/>
        </w:rPr>
      </w:pPr>
    </w:p>
    <w:p w:rsidR="0013226D" w:rsidRDefault="0013226D" w:rsidP="0013226D">
      <w:pPr>
        <w:ind w:firstLine="709"/>
        <w:rPr>
          <w:rFonts w:ascii="Times New Roman" w:hAnsi="Times New Roman" w:cs="Times New Roman"/>
          <w:sz w:val="28"/>
          <w:szCs w:val="28"/>
          <w:lang w:val="uk-UA"/>
        </w:rPr>
      </w:pPr>
      <w:r w:rsidRPr="0013226D">
        <w:rPr>
          <w:rFonts w:ascii="Times New Roman" w:hAnsi="Times New Roman" w:cs="Times New Roman"/>
          <w:sz w:val="28"/>
          <w:szCs w:val="28"/>
          <w:lang w:val="uk-UA"/>
        </w:rPr>
        <w:t xml:space="preserve"> Операція з внесення майновий прав інтелектуальної власності до статутного капіталу господарського товариства, як зазначалося в [1], починається з фіксації наявності майнових прав інтелектуальної власності у власника таких прав, та закінчується фіксацією передачі (припинення) таких прав. Терміни проведення операції мають чіткі обмеження, обумовлені насамперед вимогами законодавства. Так термін здійснення всього комплексу дій з інвестування майнових прав інтелектуальної власності повинний обмежуватися: 1. Строком дії майнових прав інтелектуальної власності на об’єкт, що передається до статутного капіталу; 2. Терміном обов’язкової сплати внеску до статутного капіталу, що визначений законодавством про господарські товариства. 3. Термінами розміщення та реєстрації випуску цінних паперів (відкритого або закритого) - у випадку інвестування у цінні папери. 4. Термінами здійснення реєстраційних дій з реєстрації передачі прав інтелектуальної власності. 5. Термінами здійснення реєстраційних дій з реєстрації змін до статутних документів. 6. У випадку інвестування у цінні папери – термінами реєстрації розміщення та внесення відповідних змін до системи обліку прав власності на цінні папери. В межах вказаних законодавчих обмежень терміни виконання операції можуть бути звужені рішенням засновників щодо строків формування статутного капіталу товариства (строків розміщення випуску акцій). Враховуючі, що внесок до статутного капіталу є актом розпоряджання правами, він не може відбуватися раніше, ніж дата виникнення у інвестора відповідних майнових прав на об’єкт інтелектуальної власності. Дата початку та строк дії майнових прав інтелектуальної власності визначається відповідно до вимог законодавства. Так майнові права на об’єкт </w:t>
      </w:r>
      <w:r w:rsidRPr="0013226D">
        <w:rPr>
          <w:rFonts w:ascii="Times New Roman" w:hAnsi="Times New Roman" w:cs="Times New Roman"/>
          <w:sz w:val="28"/>
          <w:szCs w:val="28"/>
          <w:lang w:val="uk-UA"/>
        </w:rPr>
        <w:lastRenderedPageBreak/>
        <w:t xml:space="preserve">інтелектуальної власності – знак для товарів та послуг - виникають з дати наступної за датою подання заявки . [2, ст.. 496,]. Майнові права на об’єкти винахід, корисна модель та промисловий зразок діють з дати наступної за датою публікації відомостей про видачу патенту [2, ст.. 465]. Авторське право на твір виникає внаслідок його створення та не потребує спеціальної реєстрації [ 2]. Права особи, яка набула майнові права внаслідок передання їх від попереднього власника, діють відповідно законодавству з дати державної реєстрації – для об’єктів інтелектуальної власності, що підлягають обов’язкової реєстрації. Строк дії майнових прав інтелектуальної власності згідно чинного законодавства України становить: - для об’єкта - винахід, корисна модель - 20 років; - для об’єкта - корисна модель - 10 років; - для об’єкта – промисловий зразок - 10 років з можливістю продовження на 5 років; - для об’єкта – знак для товарів та послуг - 10 років з можливістю продовження щоразу на 10 років; - для об’єкта авторських прав – все життя автора (останнього з співавторів) і 70 років для правонаступників. На відміну від прав інтелектуальної власності корпоративні права не мають законодавчих обмежень строку дії, та припиняються тільки внаслідок їх відчуження або припинення емітента таких прав як юридичної особи. Висновок: Таким чином, визначати межи конкретних етапів здійснення операції доцільно згідно з переліком юридично значимих подій. Розміщення таких подій у часі графічно відображено на Рис. 1. Рис 1 - Визначення часових меж при розпоряджанні майновими правами шляхом внесення до статутного капіталу. На рис. 1 позначено: Та - дата початку дії прав; Тb - дата прийняття рішення засновниками про формування (збільшення) статутного капіталу господарського товариства та про розміщення акцій (у випадку внесення майнових прав до статутного капіталу акціонерного товариства); Тс - дата підписання договору про передачу майнових прав інтелектуальної власності; Тd - дата підписання акту прийому-передачі до договору про передачу майнових прав ІВ; Тe - дата реєстрації випуску акцій (при відкритому розміщенні акцій) або звіту про розміщення закритого випуску акцій (у випадку інвестування майнових прав інтелектуальної власності в цінні папери): - дата початку розміщення цінних паперів; - дата закінчення розміщення цінних паперів; Тf - дата державної реєстрації статуту </w:t>
      </w:r>
      <w:r w:rsidRPr="0013226D">
        <w:rPr>
          <w:rFonts w:ascii="Times New Roman" w:hAnsi="Times New Roman" w:cs="Times New Roman"/>
          <w:sz w:val="28"/>
          <w:szCs w:val="28"/>
          <w:lang w:val="uk-UA"/>
        </w:rPr>
        <w:lastRenderedPageBreak/>
        <w:t xml:space="preserve">господарського товариства (змін до статуту, пов’язаних із збільшенням статутного капіталу; Тg - дата видачі товариством свідоцтва про право власності на частку у статутному капіталі або сертифікату акцій; Тa Tb Tc Td Te Tf Tg Th Ti Тh - дата державної реєстрації передачі майнових прав інтелектуальної власності внаслідок передачі прав до статутного капіталу; Тi – дата закінчення терміну дії правової охорони майнових прав інтелектуальної власності. </w:t>
      </w:r>
    </w:p>
    <w:p w:rsidR="00872973" w:rsidRPr="0013226D" w:rsidRDefault="00872973" w:rsidP="0013226D">
      <w:pPr>
        <w:ind w:firstLine="709"/>
        <w:rPr>
          <w:rFonts w:ascii="Times New Roman" w:hAnsi="Times New Roman" w:cs="Times New Roman"/>
          <w:sz w:val="28"/>
          <w:szCs w:val="28"/>
          <w:lang w:val="uk-UA"/>
        </w:rPr>
      </w:pPr>
    </w:p>
    <w:p w:rsidR="0013226D" w:rsidRPr="0013226D" w:rsidRDefault="0013226D" w:rsidP="0013226D">
      <w:pPr>
        <w:jc w:val="center"/>
        <w:rPr>
          <w:rFonts w:ascii="Times New Roman" w:hAnsi="Times New Roman" w:cs="Times New Roman"/>
          <w:sz w:val="28"/>
          <w:szCs w:val="28"/>
          <w:lang w:val="uk-UA"/>
        </w:rPr>
      </w:pPr>
      <w:r w:rsidRPr="0013226D">
        <w:rPr>
          <w:rFonts w:ascii="Times New Roman" w:hAnsi="Times New Roman" w:cs="Times New Roman"/>
          <w:sz w:val="28"/>
          <w:szCs w:val="28"/>
          <w:lang w:val="uk-UA"/>
        </w:rPr>
        <w:t>Список використаних джерел</w:t>
      </w:r>
    </w:p>
    <w:p w:rsidR="0013226D" w:rsidRPr="0013226D" w:rsidRDefault="0013226D" w:rsidP="0013226D">
      <w:pPr>
        <w:rPr>
          <w:rFonts w:ascii="Times New Roman" w:hAnsi="Times New Roman" w:cs="Times New Roman"/>
          <w:sz w:val="28"/>
          <w:szCs w:val="28"/>
          <w:lang w:val="uk-UA"/>
        </w:rPr>
      </w:pPr>
      <w:r w:rsidRPr="0013226D">
        <w:rPr>
          <w:rFonts w:ascii="Times New Roman" w:hAnsi="Times New Roman" w:cs="Times New Roman"/>
          <w:sz w:val="28"/>
          <w:szCs w:val="28"/>
          <w:lang w:val="uk-UA"/>
        </w:rPr>
        <w:t xml:space="preserve">1. Чікін С.В., к.т.н. доц., Нестеренко Н.В., студ. ФЕЛ, Контроль наявності прав інтелектуальної власності // Тези VIII Всеукраїнської науково-практичної Інтернет-конференції «Інтелектуальна власність: погляд з ХХІ століття». – Черкаси, ЧНУ. - 2019. – 116 с. – с. 50 – 54. </w:t>
      </w:r>
    </w:p>
    <w:p w:rsidR="00775557" w:rsidRPr="0013226D" w:rsidRDefault="0013226D" w:rsidP="0013226D">
      <w:pPr>
        <w:rPr>
          <w:rFonts w:ascii="Times New Roman" w:hAnsi="Times New Roman" w:cs="Times New Roman"/>
          <w:sz w:val="28"/>
          <w:szCs w:val="28"/>
          <w:lang w:val="uk-UA"/>
        </w:rPr>
      </w:pPr>
      <w:r w:rsidRPr="0013226D">
        <w:rPr>
          <w:rFonts w:ascii="Times New Roman" w:hAnsi="Times New Roman" w:cs="Times New Roman"/>
          <w:sz w:val="28"/>
          <w:szCs w:val="28"/>
          <w:lang w:val="uk-UA"/>
        </w:rPr>
        <w:t>2. Цивільний Кодекс України. Затв. Законом України N 435-IV від 16.01.2003 р. //Відомості Верховної Ради України (ВВР).- 2003.- NN 40-44.</w:t>
      </w:r>
    </w:p>
    <w:sectPr w:rsidR="00775557" w:rsidRPr="0013226D" w:rsidSect="0013226D">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199" w:rsidRDefault="002A7199" w:rsidP="0013226D">
      <w:pPr>
        <w:spacing w:line="240" w:lineRule="auto"/>
      </w:pPr>
      <w:r>
        <w:separator/>
      </w:r>
    </w:p>
  </w:endnote>
  <w:endnote w:type="continuationSeparator" w:id="1">
    <w:p w:rsidR="002A7199" w:rsidRDefault="002A7199" w:rsidP="001322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6D" w:rsidRDefault="0013226D" w:rsidP="0013226D">
    <w:pPr>
      <w:pStyle w:val="a5"/>
      <w:rPr>
        <w:lang w:val="uk-UA"/>
      </w:rPr>
    </w:pPr>
    <w:r w:rsidRPr="0060027B">
      <w:rPr>
        <w:noProof/>
        <w:lang w:val="uk-UA" w:eastAsia="uk-UA"/>
      </w:rPr>
      <w:pict>
        <v:line id="_x0000_s2051" style="position:absolute;left:0;text-align:left;z-index:251658240;visibility:visible;mso-width-relative:margin;mso-height-relative:margin" from=".25pt,3.4pt" to="489.75pt,3.4pt" strokecolor="black [3200]" strokeweight="5pt">
          <v:stroke linestyle="thickThin"/>
          <v:shadow color="#868686"/>
        </v:line>
      </w:pict>
    </w:r>
  </w:p>
  <w:p w:rsidR="0013226D" w:rsidRPr="0084207D" w:rsidRDefault="0013226D" w:rsidP="0013226D">
    <w:pPr>
      <w:pStyle w:val="a5"/>
      <w:rPr>
        <w:rFonts w:ascii="Verdana" w:hAnsi="Verdana"/>
        <w:lang w:val="uk-UA"/>
      </w:rPr>
    </w:pPr>
    <w:r w:rsidRPr="00824C2E">
      <w:rPr>
        <w:rFonts w:ascii="Verdana" w:hAnsi="Verdana"/>
      </w:rPr>
      <w:t xml:space="preserve">© </w:t>
    </w:r>
    <w:r w:rsidRPr="0013226D">
      <w:rPr>
        <w:rFonts w:ascii="Verdana" w:hAnsi="Verdana"/>
      </w:rPr>
      <w:t>Д.П.Науменко, С.В.Чікін</w:t>
    </w:r>
    <w:r w:rsidRPr="00824C2E">
      <w:rPr>
        <w:rFonts w:ascii="Verdana" w:hAnsi="Verdana"/>
      </w:rPr>
      <w:t>, 20</w:t>
    </w:r>
    <w:r>
      <w:rPr>
        <w:rFonts w:ascii="Verdana" w:hAnsi="Verdana"/>
        <w:lang w:val="uk-UA"/>
      </w:rPr>
      <w:t>20</w:t>
    </w:r>
  </w:p>
  <w:p w:rsidR="0013226D" w:rsidRPr="0068338B" w:rsidRDefault="0013226D" w:rsidP="0013226D">
    <w:pPr>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199" w:rsidRDefault="002A7199" w:rsidP="0013226D">
      <w:pPr>
        <w:spacing w:line="240" w:lineRule="auto"/>
      </w:pPr>
      <w:r>
        <w:separator/>
      </w:r>
    </w:p>
  </w:footnote>
  <w:footnote w:type="continuationSeparator" w:id="1">
    <w:p w:rsidR="002A7199" w:rsidRDefault="002A7199" w:rsidP="001322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6D" w:rsidRPr="00824C2E" w:rsidRDefault="0013226D" w:rsidP="0013226D">
    <w:pPr>
      <w:tabs>
        <w:tab w:val="left" w:pos="2835"/>
        <w:tab w:val="left" w:pos="8080"/>
      </w:tabs>
      <w:rPr>
        <w:rFonts w:ascii="Verdana" w:hAnsi="Verdana"/>
        <w:b/>
        <w:bCs/>
        <w:color w:val="000000"/>
        <w:szCs w:val="21"/>
        <w:shd w:val="clear" w:color="auto" w:fill="FFFFFF"/>
        <w:lang w:val="uk-UA"/>
      </w:rPr>
    </w:pPr>
    <w:r w:rsidRPr="0060027B">
      <w:rPr>
        <w:rFonts w:ascii="Verdana" w:hAnsi="Verdana"/>
        <w:b/>
        <w:bCs/>
        <w:noProof/>
        <w:color w:val="000000"/>
        <w:szCs w:val="21"/>
        <w:lang w:val="uk-UA" w:eastAsia="uk-UA"/>
      </w:rPr>
      <w:pict>
        <v:roundrect id="_x0000_s2050" style="position:absolute;left:0;text-align:left;margin-left:391.25pt;margin-top:-1.35pt;width:97.5pt;height:17.2pt;z-index:251661312" arcsize="10923f" filled="f" fillcolor="white [3201]" strokecolor="black [3200]" strokeweight="5pt">
          <v:stroke linestyle="thickThin"/>
          <v:shadow color="#868686"/>
        </v:roundrect>
      </w:pict>
    </w:r>
    <w:r w:rsidRPr="00824C2E">
      <w:rPr>
        <w:rFonts w:ascii="Verdana" w:hAnsi="Verdana"/>
        <w:b/>
        <w:bCs/>
        <w:color w:val="000000"/>
        <w:szCs w:val="21"/>
        <w:shd w:val="clear" w:color="auto" w:fill="FFFFFF"/>
        <w:lang w:val="uk-UA"/>
      </w:rPr>
      <w:t>ІННОВАЦІЇ МОЛОДІ В МАШИНОБУДУВАННІ</w:t>
    </w:r>
    <w:r w:rsidRPr="00824C2E">
      <w:rPr>
        <w:rFonts w:ascii="Verdana" w:hAnsi="Verdana"/>
        <w:b/>
        <w:bCs/>
        <w:color w:val="000000"/>
        <w:szCs w:val="21"/>
        <w:shd w:val="clear" w:color="auto" w:fill="FFFFFF"/>
        <w:lang w:val="uk-UA"/>
      </w:rPr>
      <w:tab/>
    </w:r>
    <w:r w:rsidRPr="00824C2E">
      <w:rPr>
        <w:rFonts w:ascii="Verdana" w:hAnsi="Verdana"/>
        <w:b/>
        <w:bCs/>
        <w:color w:val="000000"/>
        <w:szCs w:val="21"/>
        <w:shd w:val="clear" w:color="auto" w:fill="FFFFFF"/>
      </w:rPr>
      <w:t xml:space="preserve">№ </w:t>
    </w:r>
    <w:r>
      <w:rPr>
        <w:rFonts w:ascii="Verdana" w:hAnsi="Verdana"/>
        <w:b/>
        <w:bCs/>
        <w:color w:val="000000"/>
        <w:szCs w:val="21"/>
        <w:shd w:val="clear" w:color="auto" w:fill="FFFFFF"/>
        <w:lang w:val="uk-UA"/>
      </w:rPr>
      <w:t>2</w:t>
    </w:r>
    <w:r w:rsidRPr="00824C2E">
      <w:rPr>
        <w:rFonts w:ascii="Verdana" w:hAnsi="Verdana"/>
        <w:b/>
        <w:bCs/>
        <w:color w:val="000000"/>
        <w:szCs w:val="21"/>
        <w:shd w:val="clear" w:color="auto" w:fill="FFFFFF"/>
      </w:rPr>
      <w:t xml:space="preserve"> (20</w:t>
    </w:r>
    <w:r>
      <w:rPr>
        <w:rFonts w:ascii="Verdana" w:hAnsi="Verdana"/>
        <w:b/>
        <w:bCs/>
        <w:color w:val="000000"/>
        <w:szCs w:val="21"/>
        <w:shd w:val="clear" w:color="auto" w:fill="FFFFFF"/>
        <w:lang w:val="uk-UA"/>
      </w:rPr>
      <w:t>20</w:t>
    </w:r>
    <w:r w:rsidRPr="00824C2E">
      <w:rPr>
        <w:rFonts w:ascii="Verdana" w:hAnsi="Verdana"/>
        <w:b/>
        <w:bCs/>
        <w:color w:val="000000"/>
        <w:szCs w:val="21"/>
        <w:shd w:val="clear" w:color="auto" w:fill="FFFFFF"/>
      </w:rPr>
      <w:t>)</w:t>
    </w:r>
  </w:p>
  <w:p w:rsidR="0013226D" w:rsidRPr="00391534" w:rsidRDefault="0013226D" w:rsidP="0013226D">
    <w:pPr>
      <w:tabs>
        <w:tab w:val="left" w:pos="2835"/>
        <w:tab w:val="left" w:pos="8080"/>
      </w:tabs>
      <w:rPr>
        <w:rFonts w:ascii="Verdana" w:hAnsi="Verdana"/>
        <w:b/>
        <w:bCs/>
        <w:color w:val="000000"/>
        <w:sz w:val="21"/>
        <w:szCs w:val="21"/>
        <w:shd w:val="clear" w:color="auto" w:fill="FFFFFF"/>
        <w:lang w:val="uk-UA"/>
      </w:rPr>
    </w:pPr>
  </w:p>
  <w:p w:rsidR="0013226D" w:rsidRDefault="0013226D" w:rsidP="0013226D">
    <w:pPr>
      <w:pStyle w:val="a3"/>
      <w:jc w:val="center"/>
      <w:rPr>
        <w:rFonts w:asciiTheme="majorHAnsi" w:hAnsiTheme="majorHAnsi"/>
        <w:b/>
        <w:caps/>
        <w:color w:val="FF0000"/>
        <w:sz w:val="20"/>
        <w:szCs w:val="20"/>
        <w:lang w:val="uk-UA"/>
      </w:rPr>
    </w:pPr>
  </w:p>
  <w:p w:rsidR="0013226D" w:rsidRPr="002667AB" w:rsidRDefault="0013226D" w:rsidP="0013226D">
    <w:pPr>
      <w:pStyle w:val="a3"/>
      <w:jc w:val="center"/>
      <w:rPr>
        <w:rFonts w:asciiTheme="majorHAnsi" w:hAnsiTheme="majorHAnsi"/>
        <w:b/>
        <w:caps/>
        <w:color w:val="FF0000"/>
        <w:sz w:val="20"/>
        <w:szCs w:val="20"/>
        <w:lang w:val="uk-UA"/>
      </w:rPr>
    </w:pPr>
    <w:r w:rsidRPr="0060027B">
      <w:rPr>
        <w:rFonts w:asciiTheme="majorHAnsi" w:hAnsiTheme="majorHAnsi"/>
        <w:b/>
        <w:caps/>
        <w:noProof/>
        <w:color w:val="FF0000"/>
        <w:sz w:val="20"/>
        <w:szCs w:val="20"/>
        <w:lang w:val="uk-UA" w:eastAsia="uk-UA"/>
      </w:rPr>
      <w:pict>
        <v:line id="_x0000_s2049" style="position:absolute;left:0;text-align:left;z-index:251660288;visibility:visible;mso-width-relative:margin;mso-height-relative:margin" from=".25pt,5.05pt" to="489.75pt,5.05pt" strokecolor="black [3200]" strokeweight="5pt">
          <v:stroke linestyle="thickThin"/>
          <v:shadow color="#868686"/>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13226D"/>
    <w:rsid w:val="0013226D"/>
    <w:rsid w:val="002A7199"/>
    <w:rsid w:val="00775557"/>
    <w:rsid w:val="0087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3226D"/>
    <w:pPr>
      <w:tabs>
        <w:tab w:val="center" w:pos="4677"/>
        <w:tab w:val="right" w:pos="9355"/>
      </w:tabs>
      <w:spacing w:line="240" w:lineRule="auto"/>
    </w:pPr>
  </w:style>
  <w:style w:type="character" w:customStyle="1" w:styleId="a4">
    <w:name w:val="Верхний колонтитул Знак"/>
    <w:basedOn w:val="a0"/>
    <w:link w:val="a3"/>
    <w:rsid w:val="0013226D"/>
  </w:style>
  <w:style w:type="paragraph" w:styleId="a5">
    <w:name w:val="footer"/>
    <w:basedOn w:val="a"/>
    <w:link w:val="a6"/>
    <w:uiPriority w:val="99"/>
    <w:unhideWhenUsed/>
    <w:rsid w:val="0013226D"/>
    <w:pPr>
      <w:tabs>
        <w:tab w:val="center" w:pos="4677"/>
        <w:tab w:val="right" w:pos="9355"/>
      </w:tabs>
      <w:spacing w:line="240" w:lineRule="auto"/>
    </w:pPr>
  </w:style>
  <w:style w:type="character" w:customStyle="1" w:styleId="a6">
    <w:name w:val="Нижний колонтитул Знак"/>
    <w:basedOn w:val="a0"/>
    <w:link w:val="a5"/>
    <w:uiPriority w:val="99"/>
    <w:rsid w:val="0013226D"/>
  </w:style>
  <w:style w:type="paragraph" w:styleId="a7">
    <w:name w:val="Balloon Text"/>
    <w:basedOn w:val="a"/>
    <w:link w:val="a8"/>
    <w:uiPriority w:val="99"/>
    <w:semiHidden/>
    <w:unhideWhenUsed/>
    <w:rsid w:val="0013226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dc:creator>
  <cp:lastModifiedBy>AMK</cp:lastModifiedBy>
  <cp:revision>2</cp:revision>
  <dcterms:created xsi:type="dcterms:W3CDTF">2020-05-18T05:06:00Z</dcterms:created>
  <dcterms:modified xsi:type="dcterms:W3CDTF">2020-05-18T05:15:00Z</dcterms:modified>
</cp:coreProperties>
</file>