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A4" w:rsidRDefault="00B433A1" w:rsidP="00B433A1">
      <w:pPr>
        <w:pStyle w:val="a8"/>
        <w:spacing w:line="360" w:lineRule="auto"/>
        <w:jc w:val="left"/>
        <w:rPr>
          <w:b/>
          <w:sz w:val="28"/>
          <w:szCs w:val="28"/>
        </w:rPr>
      </w:pPr>
      <w:r>
        <w:rPr>
          <w:b/>
          <w:sz w:val="28"/>
          <w:szCs w:val="28"/>
        </w:rPr>
        <w:t>Ромашко А.С.,</w:t>
      </w:r>
      <w:r w:rsidRPr="00944C90">
        <w:rPr>
          <w:b/>
          <w:sz w:val="28"/>
          <w:szCs w:val="28"/>
        </w:rPr>
        <w:t xml:space="preserve"> </w:t>
      </w:r>
      <w:proofErr w:type="spellStart"/>
      <w:r w:rsidR="00944C90" w:rsidRPr="00944C90">
        <w:rPr>
          <w:b/>
          <w:sz w:val="28"/>
          <w:szCs w:val="28"/>
        </w:rPr>
        <w:t>Поладько</w:t>
      </w:r>
      <w:proofErr w:type="spellEnd"/>
      <w:r w:rsidR="00944C90" w:rsidRPr="00944C90">
        <w:rPr>
          <w:b/>
          <w:sz w:val="28"/>
          <w:szCs w:val="28"/>
        </w:rPr>
        <w:t xml:space="preserve"> О.М.,  </w:t>
      </w:r>
    </w:p>
    <w:p w:rsidR="00944C90" w:rsidRPr="00944C90" w:rsidRDefault="00C616A4" w:rsidP="00B433A1">
      <w:pPr>
        <w:pStyle w:val="a8"/>
        <w:spacing w:line="360" w:lineRule="auto"/>
        <w:jc w:val="left"/>
        <w:rPr>
          <w:b/>
          <w:sz w:val="28"/>
          <w:szCs w:val="28"/>
        </w:rPr>
      </w:pPr>
      <w:r w:rsidRPr="00CB752C">
        <w:rPr>
          <w:sz w:val="28"/>
          <w:szCs w:val="28"/>
        </w:rPr>
        <w:t>Національн</w:t>
      </w:r>
      <w:r w:rsidR="00B433A1">
        <w:rPr>
          <w:sz w:val="28"/>
          <w:szCs w:val="28"/>
        </w:rPr>
        <w:t>ий</w:t>
      </w:r>
      <w:r w:rsidRPr="00CB752C">
        <w:rPr>
          <w:sz w:val="28"/>
          <w:szCs w:val="28"/>
        </w:rPr>
        <w:t xml:space="preserve"> технічн</w:t>
      </w:r>
      <w:r w:rsidR="00B433A1">
        <w:rPr>
          <w:sz w:val="28"/>
          <w:szCs w:val="28"/>
        </w:rPr>
        <w:t>ий</w:t>
      </w:r>
      <w:r w:rsidRPr="00CB752C">
        <w:rPr>
          <w:sz w:val="28"/>
          <w:szCs w:val="28"/>
        </w:rPr>
        <w:t xml:space="preserve"> університет України </w:t>
      </w:r>
      <w:proofErr w:type="spellStart"/>
      <w:r w:rsidRPr="00CB752C">
        <w:rPr>
          <w:sz w:val="28"/>
          <w:szCs w:val="28"/>
        </w:rPr>
        <w:t>„Київський</w:t>
      </w:r>
      <w:proofErr w:type="spellEnd"/>
      <w:r w:rsidRPr="00CB752C">
        <w:rPr>
          <w:sz w:val="28"/>
          <w:szCs w:val="28"/>
        </w:rPr>
        <w:t xml:space="preserve"> політехнічний інститут імені Ігоря Сікорського</w:t>
      </w:r>
      <w:r>
        <w:rPr>
          <w:sz w:val="28"/>
          <w:szCs w:val="28"/>
        </w:rPr>
        <w:t>”</w:t>
      </w:r>
    </w:p>
    <w:p w:rsidR="00944C90" w:rsidRPr="00CB752C" w:rsidRDefault="00944C90" w:rsidP="00944C90">
      <w:pPr>
        <w:pStyle w:val="a8"/>
        <w:spacing w:line="360" w:lineRule="auto"/>
        <w:ind w:firstLine="709"/>
        <w:rPr>
          <w:sz w:val="28"/>
          <w:szCs w:val="28"/>
        </w:rPr>
      </w:pPr>
    </w:p>
    <w:p w:rsidR="002721D2" w:rsidRPr="00CB752C" w:rsidRDefault="00B433A1" w:rsidP="00CB752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Актуалізація міжнародних договорів та угод, що </w:t>
      </w:r>
      <w:r w:rsidRPr="00944C90">
        <w:rPr>
          <w:rFonts w:ascii="Times New Roman" w:hAnsi="Times New Roman" w:cs="Times New Roman"/>
          <w:b/>
          <w:sz w:val="28"/>
          <w:szCs w:val="28"/>
          <w:lang w:val="uk-UA"/>
        </w:rPr>
        <w:t>стосуються винаходів та корисних моделей</w:t>
      </w:r>
    </w:p>
    <w:p w:rsidR="00C30E58" w:rsidRDefault="00C30E58" w:rsidP="00CB752C">
      <w:pPr>
        <w:spacing w:after="0" w:line="360" w:lineRule="auto"/>
        <w:ind w:firstLine="709"/>
        <w:jc w:val="center"/>
        <w:rPr>
          <w:rFonts w:ascii="Times New Roman" w:hAnsi="Times New Roman" w:cs="Times New Roman"/>
          <w:b/>
          <w:sz w:val="28"/>
          <w:szCs w:val="28"/>
          <w:lang w:val="uk-UA"/>
        </w:rPr>
      </w:pPr>
    </w:p>
    <w:p w:rsidR="00937C7C" w:rsidRDefault="00A82634" w:rsidP="00CB752C">
      <w:pPr>
        <w:pStyle w:val="HTML"/>
        <w:shd w:val="clear" w:color="auto" w:fill="FFFFFF"/>
        <w:spacing w:line="360" w:lineRule="auto"/>
        <w:ind w:firstLine="709"/>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Міжнародні договори, до яких приєдналась Україна, є частиною національного законодавства</w:t>
      </w:r>
      <w:r w:rsidR="00CB752C">
        <w:rPr>
          <w:rFonts w:ascii="Times New Roman" w:hAnsi="Times New Roman" w:cs="Times New Roman"/>
          <w:sz w:val="28"/>
          <w:szCs w:val="28"/>
          <w:lang w:val="uk-UA"/>
        </w:rPr>
        <w:t xml:space="preserve">, але в цій публікації </w:t>
      </w:r>
      <w:r w:rsidRPr="00CB752C">
        <w:rPr>
          <w:rFonts w:ascii="Times New Roman" w:hAnsi="Times New Roman" w:cs="Times New Roman"/>
          <w:sz w:val="28"/>
          <w:szCs w:val="28"/>
          <w:lang w:val="uk-UA"/>
        </w:rPr>
        <w:t xml:space="preserve">нас цікавлять </w:t>
      </w:r>
      <w:r w:rsidR="006A715B">
        <w:rPr>
          <w:rFonts w:ascii="Times New Roman" w:hAnsi="Times New Roman" w:cs="Times New Roman"/>
          <w:sz w:val="28"/>
          <w:szCs w:val="28"/>
          <w:lang w:val="uk-UA"/>
        </w:rPr>
        <w:t xml:space="preserve">лише </w:t>
      </w:r>
      <w:r w:rsidRPr="00CB752C">
        <w:rPr>
          <w:rFonts w:ascii="Times New Roman" w:hAnsi="Times New Roman" w:cs="Times New Roman"/>
          <w:sz w:val="28"/>
          <w:szCs w:val="28"/>
          <w:lang w:val="uk-UA"/>
        </w:rPr>
        <w:t>ті міжнародні договори і угоди, які стосуються винаходів та корисних моделей та адміністративні функції яких виконує Всесвітня організація інтелектуальної власності, а саме:</w:t>
      </w:r>
    </w:p>
    <w:p w:rsidR="00937C7C" w:rsidRDefault="00A82634" w:rsidP="00937C7C">
      <w:pPr>
        <w:pStyle w:val="HTML"/>
        <w:numPr>
          <w:ilvl w:val="0"/>
          <w:numId w:val="12"/>
        </w:numPr>
        <w:shd w:val="clear" w:color="auto" w:fill="FFFFFF"/>
        <w:spacing w:line="360" w:lineRule="auto"/>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Паризька конвенція про охорону промислової власності;</w:t>
      </w:r>
    </w:p>
    <w:p w:rsidR="00937C7C" w:rsidRDefault="00A82634" w:rsidP="00937C7C">
      <w:pPr>
        <w:pStyle w:val="HTML"/>
        <w:numPr>
          <w:ilvl w:val="0"/>
          <w:numId w:val="12"/>
        </w:numPr>
        <w:shd w:val="clear" w:color="auto" w:fill="FFFFFF"/>
        <w:spacing w:line="360" w:lineRule="auto"/>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 xml:space="preserve">Страсбурзька угода про Міжнародну патентну класифікацію; </w:t>
      </w:r>
    </w:p>
    <w:p w:rsidR="00937C7C" w:rsidRDefault="00A82634" w:rsidP="00937C7C">
      <w:pPr>
        <w:pStyle w:val="HTML"/>
        <w:numPr>
          <w:ilvl w:val="0"/>
          <w:numId w:val="12"/>
        </w:numPr>
        <w:shd w:val="clear" w:color="auto" w:fill="FFFFFF"/>
        <w:spacing w:line="360" w:lineRule="auto"/>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Договір про патентну кооперацію (РСТ);</w:t>
      </w:r>
    </w:p>
    <w:p w:rsidR="00937C7C" w:rsidRDefault="00A82634" w:rsidP="00937C7C">
      <w:pPr>
        <w:pStyle w:val="HTML"/>
        <w:numPr>
          <w:ilvl w:val="0"/>
          <w:numId w:val="12"/>
        </w:numPr>
        <w:shd w:val="clear" w:color="auto" w:fill="FFFFFF"/>
        <w:spacing w:line="360" w:lineRule="auto"/>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Договір про патентне право (PLT);</w:t>
      </w:r>
    </w:p>
    <w:p w:rsidR="00A82634" w:rsidRPr="00CB752C" w:rsidRDefault="00A82634" w:rsidP="00937C7C">
      <w:pPr>
        <w:pStyle w:val="HTML"/>
        <w:numPr>
          <w:ilvl w:val="0"/>
          <w:numId w:val="12"/>
        </w:numPr>
        <w:shd w:val="clear" w:color="auto" w:fill="FFFFFF"/>
        <w:spacing w:line="360" w:lineRule="auto"/>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Будапештський договір про міжнародне визнання депонування мікроорганізмів з метою патентної процедури.</w:t>
      </w:r>
    </w:p>
    <w:p w:rsidR="00A82634" w:rsidRPr="00CB752C" w:rsidRDefault="00A82634" w:rsidP="00CB752C">
      <w:pPr>
        <w:pStyle w:val="HTML"/>
        <w:shd w:val="clear" w:color="auto" w:fill="FFFFFF"/>
        <w:spacing w:line="360" w:lineRule="auto"/>
        <w:ind w:firstLine="709"/>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 xml:space="preserve">Вищезазначені договори та угоди не є статичними і  </w:t>
      </w:r>
      <w:r w:rsidR="00CB752C">
        <w:rPr>
          <w:rFonts w:ascii="Times New Roman" w:hAnsi="Times New Roman" w:cs="Times New Roman"/>
          <w:sz w:val="28"/>
          <w:szCs w:val="28"/>
          <w:lang w:val="uk-UA"/>
        </w:rPr>
        <w:t>зазнають змін</w:t>
      </w:r>
      <w:r w:rsidRPr="00CB752C">
        <w:rPr>
          <w:rFonts w:ascii="Times New Roman" w:hAnsi="Times New Roman" w:cs="Times New Roman"/>
          <w:sz w:val="28"/>
          <w:szCs w:val="28"/>
          <w:lang w:val="uk-UA"/>
        </w:rPr>
        <w:t>, а також постійно збільшується кількість сторін, що домовляються.</w:t>
      </w:r>
    </w:p>
    <w:p w:rsidR="00A82634" w:rsidRPr="00CB752C" w:rsidRDefault="00A82634" w:rsidP="00CB752C">
      <w:pPr>
        <w:pStyle w:val="HTML"/>
        <w:shd w:val="clear" w:color="auto" w:fill="FFFFFF"/>
        <w:spacing w:line="360" w:lineRule="auto"/>
        <w:ind w:firstLine="709"/>
        <w:jc w:val="both"/>
        <w:rPr>
          <w:rFonts w:ascii="Times New Roman" w:hAnsi="Times New Roman" w:cs="Times New Roman"/>
          <w:sz w:val="28"/>
          <w:szCs w:val="28"/>
          <w:lang w:val="uk-UA"/>
        </w:rPr>
      </w:pPr>
      <w:r w:rsidRPr="00CB752C">
        <w:rPr>
          <w:rFonts w:ascii="Times New Roman" w:hAnsi="Times New Roman" w:cs="Times New Roman"/>
          <w:sz w:val="28"/>
          <w:szCs w:val="28"/>
          <w:lang w:val="uk-UA"/>
        </w:rPr>
        <w:t>Враховуючи вищезазначене, розглянемо наскільки є актуалізованою ця інформація в національному законодавстві, порівнявши її з інформацією на сайті  Всесвітньої організації інтелектуальної власності.</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b/>
          <w:bCs/>
          <w:sz w:val="28"/>
          <w:szCs w:val="28"/>
          <w:lang w:val="uk-UA"/>
        </w:rPr>
        <w:t>Паризька конвенція про охорону промислової власності</w:t>
      </w:r>
      <w:r w:rsidRPr="00CB752C">
        <w:rPr>
          <w:rFonts w:ascii="Times New Roman" w:hAnsi="Times New Roman" w:cs="Times New Roman"/>
          <w:bCs/>
          <w:sz w:val="28"/>
          <w:szCs w:val="28"/>
          <w:lang w:val="uk-UA"/>
        </w:rPr>
        <w:t>[1]</w:t>
      </w:r>
      <w:r w:rsidRPr="00CB752C">
        <w:rPr>
          <w:rFonts w:ascii="Times New Roman" w:hAnsi="Times New Roman" w:cs="Times New Roman"/>
          <w:color w:val="000000"/>
          <w:sz w:val="28"/>
          <w:szCs w:val="28"/>
          <w:lang w:val="uk-UA"/>
        </w:rPr>
        <w:t xml:space="preserve">прийнята в Парижі 20 березня 1883 року. Переглянута у Брюсселі 14 грудня 1900 р., у  Вашингтоні  2 червня  1911 р.,  у  Гаазі 6  листопада  1925 р.,  у  Лондоні 2 червня  1934 р.,   у  Лісабоні  31  жовтня  1958 р., у Стокгольмі 14 липня 1967 р., змінена 28 вересня 1979. </w:t>
      </w:r>
      <w:r w:rsidRPr="00937C7C">
        <w:rPr>
          <w:rFonts w:ascii="Times New Roman" w:hAnsi="Times New Roman" w:cs="Times New Roman"/>
          <w:color w:val="000000"/>
          <w:sz w:val="28"/>
          <w:szCs w:val="28"/>
          <w:lang w:val="uk-UA"/>
        </w:rPr>
        <w:t>Дата вступу в силу для України</w:t>
      </w:r>
      <w:r w:rsidRPr="00CB752C">
        <w:rPr>
          <w:rFonts w:ascii="Times New Roman" w:hAnsi="Times New Roman" w:cs="Times New Roman"/>
          <w:color w:val="000000"/>
          <w:sz w:val="28"/>
          <w:szCs w:val="28"/>
          <w:lang w:val="uk-UA"/>
        </w:rPr>
        <w:t xml:space="preserve"> 25 грудня 1991 р. Кількість країн, що приєднались станом на 19.11.2019 р.  – 177 країн</w:t>
      </w:r>
      <w:r w:rsidR="00937C7C">
        <w:rPr>
          <w:rFonts w:ascii="Times New Roman" w:hAnsi="Times New Roman" w:cs="Times New Roman"/>
          <w:color w:val="000000"/>
          <w:sz w:val="28"/>
          <w:szCs w:val="28"/>
          <w:lang w:val="uk-UA"/>
        </w:rPr>
        <w:t>.</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lastRenderedPageBreak/>
        <w:t xml:space="preserve">На сайті Верховної Ради України </w:t>
      </w:r>
      <w:r w:rsidRPr="00CB752C">
        <w:rPr>
          <w:rFonts w:ascii="Times New Roman" w:hAnsi="Times New Roman" w:cs="Times New Roman"/>
          <w:bCs/>
          <w:sz w:val="28"/>
          <w:szCs w:val="28"/>
          <w:lang w:val="uk-UA"/>
        </w:rPr>
        <w:t>Паризьку конвенцію про охорону промислової власності[2]представлено двома мовами українською (з записом, що остання зміна</w:t>
      </w:r>
      <w:r w:rsidRPr="00CB752C">
        <w:rPr>
          <w:rFonts w:ascii="Times New Roman" w:hAnsi="Times New Roman" w:cs="Times New Roman"/>
          <w:color w:val="000000"/>
          <w:sz w:val="28"/>
          <w:szCs w:val="28"/>
          <w:lang w:val="uk-UA"/>
        </w:rPr>
        <w:t xml:space="preserve">2 жовтня 1979 р.) та російською </w:t>
      </w:r>
      <w:r w:rsidRPr="00CB752C">
        <w:rPr>
          <w:rFonts w:ascii="Times New Roman" w:hAnsi="Times New Roman" w:cs="Times New Roman"/>
          <w:bCs/>
          <w:sz w:val="28"/>
          <w:szCs w:val="28"/>
          <w:lang w:val="uk-UA"/>
        </w:rPr>
        <w:t>(з записом, що остання зміна</w:t>
      </w:r>
      <w:r w:rsidRPr="00CB752C">
        <w:rPr>
          <w:rFonts w:ascii="Times New Roman" w:hAnsi="Times New Roman" w:cs="Times New Roman"/>
          <w:color w:val="000000"/>
          <w:sz w:val="28"/>
          <w:szCs w:val="28"/>
          <w:lang w:val="uk-UA"/>
        </w:rPr>
        <w:t>2 жовтня 1990 р.). Окрім того, статус Конвенції наведений на 15 липня 2002 р. і серед приєднаних 163 держави, що не відповідає дійсності (див. вище).</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b/>
          <w:color w:val="000000"/>
          <w:sz w:val="28"/>
          <w:szCs w:val="28"/>
          <w:lang w:val="uk-UA"/>
        </w:rPr>
        <w:t xml:space="preserve">Страсбурзька угода про Міжнародну патентну класифікацію </w:t>
      </w:r>
      <w:r w:rsidRPr="00CB752C">
        <w:rPr>
          <w:rFonts w:ascii="Times New Roman" w:hAnsi="Times New Roman" w:cs="Times New Roman"/>
          <w:bCs/>
          <w:sz w:val="28"/>
          <w:szCs w:val="28"/>
          <w:lang w:val="uk-UA"/>
        </w:rPr>
        <w:t>[3]</w:t>
      </w:r>
      <w:r w:rsidRPr="00CB752C">
        <w:rPr>
          <w:rFonts w:ascii="Times New Roman" w:hAnsi="Times New Roman" w:cs="Times New Roman"/>
          <w:color w:val="000000"/>
          <w:sz w:val="28"/>
          <w:szCs w:val="28"/>
          <w:lang w:val="uk-UA"/>
        </w:rPr>
        <w:t xml:space="preserve"> прийнята 24 березня 1971 року, зі змінами від 28 вересня 1979 року. </w:t>
      </w:r>
      <w:r w:rsidRPr="00937C7C">
        <w:rPr>
          <w:rFonts w:ascii="Times New Roman" w:hAnsi="Times New Roman" w:cs="Times New Roman"/>
          <w:color w:val="000000"/>
          <w:sz w:val="28"/>
          <w:szCs w:val="28"/>
          <w:lang w:val="uk-UA"/>
        </w:rPr>
        <w:t>Дати приєднання України</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підписано </w:t>
      </w:r>
      <w:r w:rsidRPr="00CB752C">
        <w:rPr>
          <w:rFonts w:ascii="Times New Roman" w:hAnsi="Times New Roman" w:cs="Times New Roman"/>
          <w:color w:val="000000"/>
          <w:sz w:val="28"/>
          <w:szCs w:val="28"/>
          <w:lang w:val="uk-UA"/>
        </w:rPr>
        <w:t>17.12.2008 р.</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ратифіковано </w:t>
      </w:r>
      <w:r w:rsidRPr="00CB752C">
        <w:rPr>
          <w:rFonts w:ascii="Times New Roman" w:hAnsi="Times New Roman" w:cs="Times New Roman"/>
          <w:color w:val="000000"/>
          <w:sz w:val="28"/>
          <w:szCs w:val="28"/>
          <w:lang w:val="uk-UA"/>
        </w:rPr>
        <w:t>07.04.2009 р.</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вступ </w:t>
      </w:r>
      <w:r w:rsidRPr="00CB752C">
        <w:rPr>
          <w:rFonts w:ascii="Times New Roman" w:hAnsi="Times New Roman" w:cs="Times New Roman"/>
          <w:color w:val="000000"/>
          <w:sz w:val="28"/>
          <w:szCs w:val="28"/>
          <w:lang w:val="uk-UA" w:eastAsia="uk-UA"/>
        </w:rPr>
        <w:t xml:space="preserve">в силу 07.04. 2010 р. </w:t>
      </w:r>
      <w:r w:rsidRPr="00CB752C">
        <w:rPr>
          <w:rFonts w:ascii="Times New Roman" w:hAnsi="Times New Roman" w:cs="Times New Roman"/>
          <w:color w:val="000000"/>
          <w:sz w:val="28"/>
          <w:szCs w:val="28"/>
          <w:lang w:val="uk-UA"/>
        </w:rPr>
        <w:t xml:space="preserve">Кількість країн, що приєднались станом на 19.11.2019 р.  –  62 країни. </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 xml:space="preserve">На сайті Верховної Ради УкраїниСтрасбурзька угода теж представлена </w:t>
      </w:r>
      <w:r w:rsidRPr="00CB752C">
        <w:rPr>
          <w:rFonts w:ascii="Times New Roman" w:hAnsi="Times New Roman" w:cs="Times New Roman"/>
          <w:bCs/>
          <w:sz w:val="28"/>
          <w:szCs w:val="28"/>
          <w:lang w:val="uk-UA"/>
        </w:rPr>
        <w:t>[4]</w:t>
      </w:r>
      <w:r w:rsidRPr="00CB752C">
        <w:rPr>
          <w:rFonts w:ascii="Times New Roman" w:hAnsi="Times New Roman" w:cs="Times New Roman"/>
          <w:color w:val="000000"/>
          <w:sz w:val="28"/>
          <w:szCs w:val="28"/>
          <w:lang w:val="uk-UA"/>
        </w:rPr>
        <w:t>, але статус угоди наведений на 15 липня 2002 р. і серед приєднаних 53 держави, що не відповідає дійсності (див. вище).</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proofErr w:type="spellStart"/>
      <w:r w:rsidRPr="00CB752C">
        <w:rPr>
          <w:rFonts w:ascii="Times New Roman" w:hAnsi="Times New Roman" w:cs="Times New Roman"/>
          <w:b/>
          <w:sz w:val="28"/>
          <w:szCs w:val="28"/>
        </w:rPr>
        <w:t>Договір</w:t>
      </w:r>
      <w:proofErr w:type="spellEnd"/>
      <w:r w:rsidRPr="00CB752C">
        <w:rPr>
          <w:rFonts w:ascii="Times New Roman" w:hAnsi="Times New Roman" w:cs="Times New Roman"/>
          <w:b/>
          <w:sz w:val="28"/>
          <w:szCs w:val="28"/>
        </w:rPr>
        <w:t xml:space="preserve"> про </w:t>
      </w:r>
      <w:proofErr w:type="spellStart"/>
      <w:r w:rsidRPr="00CB752C">
        <w:rPr>
          <w:rFonts w:ascii="Times New Roman" w:hAnsi="Times New Roman" w:cs="Times New Roman"/>
          <w:b/>
          <w:sz w:val="28"/>
          <w:szCs w:val="28"/>
        </w:rPr>
        <w:t>патентнукооперацію</w:t>
      </w:r>
      <w:proofErr w:type="spellEnd"/>
      <w:r w:rsidRPr="00CB752C">
        <w:rPr>
          <w:rFonts w:ascii="Times New Roman" w:hAnsi="Times New Roman" w:cs="Times New Roman"/>
          <w:sz w:val="28"/>
          <w:szCs w:val="28"/>
          <w:lang w:val="uk-UA"/>
        </w:rPr>
        <w:t xml:space="preserve"> (РСТ) </w:t>
      </w:r>
      <w:r w:rsidRPr="00CB752C">
        <w:rPr>
          <w:rFonts w:ascii="Times New Roman" w:hAnsi="Times New Roman" w:cs="Times New Roman"/>
          <w:bCs/>
          <w:sz w:val="28"/>
          <w:szCs w:val="28"/>
          <w:lang w:val="uk-UA"/>
        </w:rPr>
        <w:t>[5]</w:t>
      </w:r>
      <w:r w:rsidRPr="00CB752C">
        <w:rPr>
          <w:rFonts w:ascii="Times New Roman" w:hAnsi="Times New Roman" w:cs="Times New Roman"/>
          <w:color w:val="000000"/>
          <w:sz w:val="28"/>
          <w:szCs w:val="28"/>
          <w:lang w:val="uk-UA"/>
        </w:rPr>
        <w:t>прийнятий в 17.07.70 р. у Вашингтоні, доповнений 28.08.79 р. і модифікований 03.02.84 р.  Датаприєднання України (вступ в силу) 25 грудня 1991 р. Кількість країн, що приєднались станом на 19.11.2019 р.  – 153 країни.</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 xml:space="preserve">На сайті Верховної Ради України теж наявний договір </w:t>
      </w:r>
      <w:r w:rsidRPr="00CB752C">
        <w:rPr>
          <w:rFonts w:ascii="Times New Roman" w:hAnsi="Times New Roman" w:cs="Times New Roman"/>
          <w:sz w:val="28"/>
          <w:szCs w:val="28"/>
          <w:lang w:val="uk-UA"/>
        </w:rPr>
        <w:t>РСТ</w:t>
      </w:r>
      <w:r w:rsidRPr="00CB752C">
        <w:rPr>
          <w:rFonts w:ascii="Times New Roman" w:hAnsi="Times New Roman" w:cs="Times New Roman"/>
          <w:bCs/>
          <w:sz w:val="28"/>
          <w:szCs w:val="28"/>
          <w:lang w:val="uk-UA"/>
        </w:rPr>
        <w:t xml:space="preserve"> [6], але</w:t>
      </w:r>
      <w:r w:rsidRPr="00CB752C">
        <w:rPr>
          <w:rFonts w:ascii="Times New Roman" w:hAnsi="Times New Roman" w:cs="Times New Roman"/>
          <w:color w:val="000000"/>
          <w:sz w:val="28"/>
          <w:szCs w:val="28"/>
          <w:lang w:val="uk-UA"/>
        </w:rPr>
        <w:t xml:space="preserve"> відсутні зміни від 03.10.2001 р. (вступили в силу у 01.04.2002 р.), які наявні у версії договору представленого на сайті ВОІВ,  статус угоди наведений на 15 липня 2002 р. і серед приєднаних - 116 держав, що не відповідає дійсності (див. вище).</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Також на сайті ВОІВ наявні актуальні тексти Інструкції до РСТ та Адміністративної інструкції РСТ які вступили в дію з 01.01.2019.</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b/>
          <w:bCs/>
          <w:sz w:val="28"/>
          <w:szCs w:val="28"/>
          <w:lang w:val="uk-UA"/>
        </w:rPr>
        <w:t>Договір про патентне право</w:t>
      </w:r>
      <w:r w:rsidRPr="00CB752C">
        <w:rPr>
          <w:rFonts w:ascii="Times New Roman" w:hAnsi="Times New Roman" w:cs="Times New Roman"/>
          <w:bCs/>
          <w:sz w:val="28"/>
          <w:szCs w:val="28"/>
          <w:lang w:val="uk-UA"/>
        </w:rPr>
        <w:t xml:space="preserve"> (PLT) [7] прийня</w:t>
      </w:r>
      <w:r w:rsidRPr="00CB752C">
        <w:rPr>
          <w:rFonts w:ascii="Times New Roman" w:hAnsi="Times New Roman" w:cs="Times New Roman"/>
          <w:color w:val="000000"/>
          <w:sz w:val="28"/>
          <w:szCs w:val="28"/>
          <w:lang w:val="uk-UA"/>
        </w:rPr>
        <w:t>тий в Женеві 01.06.2000. Дата набуття чинності: 30.06.2003. Дати</w:t>
      </w:r>
      <w:r w:rsidRPr="00937C7C">
        <w:rPr>
          <w:rFonts w:ascii="Times New Roman" w:hAnsi="Times New Roman" w:cs="Times New Roman"/>
          <w:color w:val="000000"/>
          <w:sz w:val="28"/>
          <w:szCs w:val="28"/>
          <w:lang w:val="uk-UA"/>
        </w:rPr>
        <w:t>приєднання України</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підписано </w:t>
      </w:r>
      <w:r w:rsidRPr="00CB752C">
        <w:rPr>
          <w:rFonts w:ascii="Times New Roman" w:hAnsi="Times New Roman" w:cs="Times New Roman"/>
          <w:color w:val="000000"/>
          <w:sz w:val="28"/>
          <w:szCs w:val="28"/>
          <w:lang w:val="uk-UA"/>
        </w:rPr>
        <w:t>22.11.2002 р.</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ратифіковано </w:t>
      </w:r>
      <w:r w:rsidRPr="00CB752C">
        <w:rPr>
          <w:rFonts w:ascii="Times New Roman" w:hAnsi="Times New Roman" w:cs="Times New Roman"/>
          <w:color w:val="000000"/>
          <w:sz w:val="28"/>
          <w:szCs w:val="28"/>
          <w:lang w:val="uk-UA" w:eastAsia="uk-UA"/>
        </w:rPr>
        <w:t>31.03.2003 р.</w:t>
      </w:r>
      <w:r w:rsidR="00937C7C">
        <w:rPr>
          <w:rFonts w:ascii="Times New Roman" w:hAnsi="Times New Roman" w:cs="Times New Roman"/>
          <w:color w:val="000000"/>
          <w:sz w:val="28"/>
          <w:szCs w:val="28"/>
          <w:lang w:val="uk-UA" w:eastAsia="uk-UA"/>
        </w:rPr>
        <w:t>,</w:t>
      </w:r>
      <w:r w:rsidR="00937C7C" w:rsidRPr="00CB752C">
        <w:rPr>
          <w:rFonts w:ascii="Times New Roman" w:hAnsi="Times New Roman" w:cs="Times New Roman"/>
          <w:color w:val="000000"/>
          <w:sz w:val="28"/>
          <w:szCs w:val="28"/>
          <w:lang w:val="uk-UA" w:eastAsia="uk-UA"/>
        </w:rPr>
        <w:t xml:space="preserve">вступ </w:t>
      </w:r>
      <w:r w:rsidRPr="00CB752C">
        <w:rPr>
          <w:rFonts w:ascii="Times New Roman" w:hAnsi="Times New Roman" w:cs="Times New Roman"/>
          <w:color w:val="000000"/>
          <w:sz w:val="28"/>
          <w:szCs w:val="28"/>
          <w:lang w:val="uk-UA" w:eastAsia="uk-UA"/>
        </w:rPr>
        <w:t xml:space="preserve">в силу 28.04.2005 р. </w:t>
      </w:r>
      <w:r w:rsidRPr="00CB752C">
        <w:rPr>
          <w:rFonts w:ascii="Times New Roman" w:hAnsi="Times New Roman" w:cs="Times New Roman"/>
          <w:color w:val="000000"/>
          <w:sz w:val="28"/>
          <w:szCs w:val="28"/>
          <w:lang w:val="uk-UA"/>
        </w:rPr>
        <w:t>Кількість країн, що приєднались станом на 19.11.2019 р.  – 42 країни.</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 xml:space="preserve">На сайті Верховної Ради України в договорі  </w:t>
      </w:r>
      <w:r w:rsidRPr="00CB752C">
        <w:rPr>
          <w:rFonts w:ascii="Times New Roman" w:hAnsi="Times New Roman" w:cs="Times New Roman"/>
          <w:bCs/>
          <w:sz w:val="28"/>
          <w:szCs w:val="28"/>
          <w:lang w:val="uk-UA"/>
        </w:rPr>
        <w:t xml:space="preserve">PLT [8] </w:t>
      </w:r>
      <w:r w:rsidRPr="00CB752C">
        <w:rPr>
          <w:rFonts w:ascii="Times New Roman" w:hAnsi="Times New Roman" w:cs="Times New Roman"/>
          <w:color w:val="000000"/>
          <w:sz w:val="28"/>
          <w:szCs w:val="28"/>
          <w:lang w:val="uk-UA"/>
        </w:rPr>
        <w:t xml:space="preserve">відсутні зміни від 03.10.2001 р. (вступили в силу у 01.04.2002 р.), які наявні у версії договору </w:t>
      </w:r>
      <w:r w:rsidRPr="00CB752C">
        <w:rPr>
          <w:rFonts w:ascii="Times New Roman" w:hAnsi="Times New Roman" w:cs="Times New Roman"/>
          <w:color w:val="000000"/>
          <w:sz w:val="28"/>
          <w:szCs w:val="28"/>
          <w:lang w:val="uk-UA"/>
        </w:rPr>
        <w:lastRenderedPageBreak/>
        <w:t>представленого на сайті ВОІВ,  статус угоди наведений на 15 липня 2003 р. і серед приєднаних 7 держав, що не відповідає дійсності (див. вище).</w:t>
      </w:r>
    </w:p>
    <w:p w:rsidR="00A82634" w:rsidRPr="00CB752C" w:rsidRDefault="00A82634" w:rsidP="00937C7C">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b/>
          <w:sz w:val="28"/>
          <w:szCs w:val="28"/>
          <w:lang w:val="uk-UA"/>
        </w:rPr>
        <w:t>Будапештський договір про міжнародне визнання депонування мікроорганізмів з метою патентної процедури</w:t>
      </w:r>
      <w:r w:rsidRPr="00CB752C">
        <w:rPr>
          <w:rFonts w:ascii="Times New Roman" w:hAnsi="Times New Roman" w:cs="Times New Roman"/>
          <w:bCs/>
          <w:sz w:val="28"/>
          <w:szCs w:val="28"/>
          <w:lang w:val="uk-UA"/>
        </w:rPr>
        <w:t xml:space="preserve">[9] </w:t>
      </w:r>
      <w:r w:rsidRPr="00CB752C">
        <w:rPr>
          <w:rFonts w:ascii="Times New Roman" w:hAnsi="Times New Roman" w:cs="Times New Roman"/>
          <w:color w:val="000000"/>
          <w:sz w:val="28"/>
          <w:szCs w:val="28"/>
          <w:lang w:val="uk-UA"/>
        </w:rPr>
        <w:t>прийнятий в Будапешті 28 квітня 1977 р. з поправками від 26.09.1980. Дати</w:t>
      </w:r>
      <w:r w:rsidRPr="00937C7C">
        <w:rPr>
          <w:rFonts w:ascii="Times New Roman" w:hAnsi="Times New Roman" w:cs="Times New Roman"/>
          <w:color w:val="000000"/>
          <w:sz w:val="28"/>
          <w:szCs w:val="28"/>
          <w:lang w:val="uk-UA"/>
        </w:rPr>
        <w:t xml:space="preserve"> приєднання України</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підписано </w:t>
      </w:r>
      <w:r w:rsidRPr="00CB752C">
        <w:rPr>
          <w:rFonts w:ascii="Times New Roman" w:hAnsi="Times New Roman" w:cs="Times New Roman"/>
          <w:color w:val="000000"/>
          <w:sz w:val="28"/>
          <w:szCs w:val="28"/>
          <w:lang w:val="uk-UA"/>
        </w:rPr>
        <w:t>01.11.1996 р.</w:t>
      </w:r>
      <w:r w:rsidR="00937C7C">
        <w:rPr>
          <w:rFonts w:ascii="Times New Roman" w:hAnsi="Times New Roman" w:cs="Times New Roman"/>
          <w:color w:val="000000"/>
          <w:sz w:val="28"/>
          <w:szCs w:val="28"/>
          <w:lang w:val="uk-UA"/>
        </w:rPr>
        <w:t>,</w:t>
      </w:r>
      <w:r w:rsidR="00937C7C" w:rsidRPr="00CB752C">
        <w:rPr>
          <w:rFonts w:ascii="Times New Roman" w:hAnsi="Times New Roman" w:cs="Times New Roman"/>
          <w:color w:val="000000"/>
          <w:sz w:val="28"/>
          <w:szCs w:val="28"/>
          <w:lang w:val="uk-UA" w:eastAsia="uk-UA"/>
        </w:rPr>
        <w:t xml:space="preserve">ратифіковано </w:t>
      </w:r>
      <w:r w:rsidRPr="00CB752C">
        <w:rPr>
          <w:rFonts w:ascii="Times New Roman" w:hAnsi="Times New Roman" w:cs="Times New Roman"/>
          <w:color w:val="000000"/>
          <w:sz w:val="28"/>
          <w:szCs w:val="28"/>
          <w:lang w:val="uk-UA" w:eastAsia="uk-UA"/>
        </w:rPr>
        <w:t>02.04.1997 р.</w:t>
      </w:r>
      <w:r w:rsidR="00937C7C">
        <w:rPr>
          <w:rFonts w:ascii="Times New Roman" w:hAnsi="Times New Roman" w:cs="Times New Roman"/>
          <w:color w:val="000000"/>
          <w:sz w:val="28"/>
          <w:szCs w:val="28"/>
          <w:lang w:val="uk-UA" w:eastAsia="uk-UA"/>
        </w:rPr>
        <w:t>;</w:t>
      </w:r>
      <w:r w:rsidR="00937C7C" w:rsidRPr="00CB752C">
        <w:rPr>
          <w:rFonts w:ascii="Times New Roman" w:hAnsi="Times New Roman" w:cs="Times New Roman"/>
          <w:color w:val="000000"/>
          <w:sz w:val="28"/>
          <w:szCs w:val="28"/>
          <w:lang w:val="uk-UA" w:eastAsia="uk-UA"/>
        </w:rPr>
        <w:t xml:space="preserve">вступ </w:t>
      </w:r>
      <w:r w:rsidRPr="00CB752C">
        <w:rPr>
          <w:rFonts w:ascii="Times New Roman" w:hAnsi="Times New Roman" w:cs="Times New Roman"/>
          <w:color w:val="000000"/>
          <w:sz w:val="28"/>
          <w:szCs w:val="28"/>
          <w:lang w:val="uk-UA" w:eastAsia="uk-UA"/>
        </w:rPr>
        <w:t xml:space="preserve">в силу 03.08.1997 р. </w:t>
      </w:r>
      <w:r w:rsidRPr="00CB752C">
        <w:rPr>
          <w:rFonts w:ascii="Times New Roman" w:hAnsi="Times New Roman" w:cs="Times New Roman"/>
          <w:color w:val="000000"/>
          <w:sz w:val="28"/>
          <w:szCs w:val="28"/>
          <w:lang w:val="uk-UA"/>
        </w:rPr>
        <w:t>Кількість країн, що приєднались станом на 19.11.2019 р.  –  82 країни.</w:t>
      </w:r>
    </w:p>
    <w:p w:rsidR="00A82634" w:rsidRPr="00CB752C"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 xml:space="preserve">На сайті Верховної Ради України </w:t>
      </w:r>
      <w:r w:rsidRPr="00CB752C">
        <w:rPr>
          <w:rFonts w:ascii="Times New Roman" w:hAnsi="Times New Roman" w:cs="Times New Roman"/>
          <w:sz w:val="28"/>
          <w:szCs w:val="28"/>
          <w:lang w:val="uk-UA"/>
        </w:rPr>
        <w:t xml:space="preserve"> р</w:t>
      </w:r>
      <w:r w:rsidRPr="00CB752C">
        <w:rPr>
          <w:rFonts w:ascii="Times New Roman" w:hAnsi="Times New Roman" w:cs="Times New Roman"/>
          <w:color w:val="000000"/>
          <w:sz w:val="28"/>
          <w:szCs w:val="28"/>
          <w:lang w:val="uk-UA"/>
        </w:rPr>
        <w:t xml:space="preserve">азом з </w:t>
      </w:r>
      <w:r w:rsidRPr="00CB752C">
        <w:rPr>
          <w:rFonts w:ascii="Times New Roman" w:hAnsi="Times New Roman" w:cs="Times New Roman"/>
          <w:sz w:val="28"/>
          <w:szCs w:val="28"/>
          <w:lang w:val="uk-UA"/>
        </w:rPr>
        <w:t>Будапештським</w:t>
      </w:r>
      <w:r w:rsidRPr="00CB752C">
        <w:rPr>
          <w:rFonts w:ascii="Times New Roman" w:hAnsi="Times New Roman" w:cs="Times New Roman"/>
          <w:color w:val="000000"/>
          <w:sz w:val="28"/>
          <w:szCs w:val="28"/>
          <w:lang w:val="uk-UA"/>
        </w:rPr>
        <w:t xml:space="preserve">договором </w:t>
      </w:r>
      <w:r w:rsidRPr="00CB752C">
        <w:rPr>
          <w:rFonts w:ascii="Times New Roman" w:hAnsi="Times New Roman" w:cs="Times New Roman"/>
          <w:bCs/>
          <w:sz w:val="28"/>
          <w:szCs w:val="28"/>
          <w:lang w:val="uk-UA"/>
        </w:rPr>
        <w:t>[</w:t>
      </w:r>
      <w:r w:rsidR="00937C7C">
        <w:rPr>
          <w:rFonts w:ascii="Times New Roman" w:hAnsi="Times New Roman" w:cs="Times New Roman"/>
          <w:bCs/>
          <w:sz w:val="28"/>
          <w:szCs w:val="28"/>
          <w:lang w:val="uk-UA"/>
        </w:rPr>
        <w:t>1</w:t>
      </w:r>
      <w:r w:rsidRPr="00CB752C">
        <w:rPr>
          <w:rFonts w:ascii="Times New Roman" w:hAnsi="Times New Roman" w:cs="Times New Roman"/>
          <w:bCs/>
          <w:sz w:val="28"/>
          <w:szCs w:val="28"/>
          <w:lang w:val="uk-UA"/>
        </w:rPr>
        <w:t>0]</w:t>
      </w:r>
      <w:r w:rsidRPr="00CB752C">
        <w:rPr>
          <w:rFonts w:ascii="Times New Roman" w:hAnsi="Times New Roman" w:cs="Times New Roman"/>
          <w:sz w:val="28"/>
          <w:szCs w:val="28"/>
          <w:lang w:val="uk-UA"/>
        </w:rPr>
        <w:t xml:space="preserve">, </w:t>
      </w:r>
      <w:r w:rsidRPr="00CB752C">
        <w:rPr>
          <w:rFonts w:ascii="Times New Roman" w:hAnsi="Times New Roman" w:cs="Times New Roman"/>
          <w:color w:val="000000"/>
          <w:sz w:val="28"/>
          <w:szCs w:val="28"/>
          <w:lang w:val="uk-UA"/>
        </w:rPr>
        <w:t xml:space="preserve"> одразу після його тексту, наявний і текст Інструкції, яка була прийнята 28 квітня 1977 року, а поправки внесено станом на 20 січня 1981 року. Зазначимо, що інформація на сайті Верховної Ради України, щодо Інструкції не відповідає дійсності, бо сайті ВОІВ наявний текст Інструкції зі змінами, який діє з 02.10.2002 р.  Також статус угоди наведений на 15 липня 2002 р. і серед приєднаних 55 держав, що не відповідає дійсності (див. вище).</w:t>
      </w:r>
    </w:p>
    <w:p w:rsidR="00C616A4" w:rsidRDefault="00A82634" w:rsidP="00CB752C">
      <w:pPr>
        <w:spacing w:after="0" w:line="360" w:lineRule="auto"/>
        <w:ind w:firstLine="709"/>
        <w:jc w:val="both"/>
        <w:rPr>
          <w:rFonts w:ascii="Times New Roman" w:hAnsi="Times New Roman" w:cs="Times New Roman"/>
          <w:sz w:val="28"/>
          <w:szCs w:val="28"/>
          <w:lang w:val="uk-UA"/>
        </w:rPr>
      </w:pPr>
      <w:r w:rsidRPr="00CB752C">
        <w:rPr>
          <w:rFonts w:ascii="Times New Roman" w:hAnsi="Times New Roman" w:cs="Times New Roman"/>
          <w:b/>
          <w:color w:val="000000"/>
          <w:sz w:val="28"/>
          <w:szCs w:val="28"/>
          <w:lang w:val="uk-UA"/>
        </w:rPr>
        <w:t>Висновок</w:t>
      </w:r>
      <w:r w:rsidRPr="00CB752C">
        <w:rPr>
          <w:rFonts w:ascii="Times New Roman" w:hAnsi="Times New Roman" w:cs="Times New Roman"/>
          <w:b/>
          <w:sz w:val="28"/>
          <w:szCs w:val="28"/>
          <w:lang w:val="uk-UA"/>
        </w:rPr>
        <w:t>.</w:t>
      </w:r>
    </w:p>
    <w:p w:rsidR="00C616A4" w:rsidRDefault="00C616A4" w:rsidP="00CB752C">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Інформація щодо змісту та статусу </w:t>
      </w:r>
      <w:r w:rsidR="0030207E">
        <w:rPr>
          <w:rFonts w:ascii="Times New Roman" w:hAnsi="Times New Roman" w:cs="Times New Roman"/>
          <w:sz w:val="28"/>
          <w:szCs w:val="28"/>
          <w:lang w:val="uk-UA"/>
        </w:rPr>
        <w:t xml:space="preserve">міжнародних </w:t>
      </w:r>
      <w:r>
        <w:rPr>
          <w:rFonts w:ascii="Times New Roman" w:hAnsi="Times New Roman" w:cs="Times New Roman"/>
          <w:sz w:val="28"/>
          <w:szCs w:val="28"/>
          <w:lang w:val="uk-UA"/>
        </w:rPr>
        <w:t xml:space="preserve">нормативно-правових актів на сайтах </w:t>
      </w:r>
      <w:r w:rsidRPr="00CB752C">
        <w:rPr>
          <w:rFonts w:ascii="Times New Roman" w:hAnsi="Times New Roman" w:cs="Times New Roman"/>
          <w:color w:val="000000"/>
          <w:sz w:val="28"/>
          <w:szCs w:val="28"/>
          <w:lang w:val="uk-UA"/>
        </w:rPr>
        <w:t>Верховної Ради України</w:t>
      </w:r>
      <w:r>
        <w:rPr>
          <w:rFonts w:ascii="Times New Roman" w:hAnsi="Times New Roman" w:cs="Times New Roman"/>
          <w:color w:val="000000"/>
          <w:sz w:val="28"/>
          <w:szCs w:val="28"/>
          <w:lang w:val="uk-UA"/>
        </w:rPr>
        <w:t xml:space="preserve"> та Всесвітньої організації інтелектуальної власності не завжди співпадають.</w:t>
      </w:r>
    </w:p>
    <w:p w:rsidR="00A82634" w:rsidRPr="004A2648" w:rsidRDefault="00A82634" w:rsidP="00CB752C">
      <w:pPr>
        <w:spacing w:after="0" w:line="360" w:lineRule="auto"/>
        <w:ind w:firstLine="709"/>
        <w:jc w:val="both"/>
        <w:rPr>
          <w:rFonts w:ascii="Times New Roman" w:hAnsi="Times New Roman" w:cs="Times New Roman"/>
          <w:color w:val="000000"/>
          <w:sz w:val="28"/>
          <w:szCs w:val="28"/>
          <w:lang w:val="uk-UA"/>
        </w:rPr>
      </w:pPr>
      <w:r w:rsidRPr="00CB752C">
        <w:rPr>
          <w:rFonts w:ascii="Times New Roman" w:hAnsi="Times New Roman" w:cs="Times New Roman"/>
          <w:color w:val="000000"/>
          <w:sz w:val="28"/>
          <w:szCs w:val="28"/>
          <w:lang w:val="uk-UA"/>
        </w:rPr>
        <w:t>Потрібно актуалізувати інформацію на сайті Верховної Ради України, щодо версій міжнародних договорів та угод, документів до них та щодо актуальних статусів цих договорів та угод.</w:t>
      </w:r>
      <w:r w:rsidR="004A2648">
        <w:rPr>
          <w:rFonts w:ascii="Times New Roman" w:hAnsi="Times New Roman" w:cs="Times New Roman"/>
          <w:color w:val="000000"/>
          <w:sz w:val="28"/>
          <w:szCs w:val="28"/>
          <w:lang w:val="uk-UA"/>
        </w:rPr>
        <w:t xml:space="preserve"> Оскільки неактуалізований нормативно-правовий акт може ввести в оману.</w:t>
      </w:r>
      <w:bookmarkStart w:id="0" w:name="_GoBack"/>
      <w:bookmarkEnd w:id="0"/>
    </w:p>
    <w:p w:rsidR="00BF5671" w:rsidRPr="00CB752C" w:rsidRDefault="00BF5671" w:rsidP="00CB752C">
      <w:pPr>
        <w:spacing w:after="0" w:line="360" w:lineRule="auto"/>
        <w:ind w:firstLine="709"/>
        <w:jc w:val="center"/>
        <w:rPr>
          <w:rFonts w:ascii="Times New Roman" w:hAnsi="Times New Roman" w:cs="Times New Roman"/>
          <w:sz w:val="28"/>
          <w:szCs w:val="28"/>
          <w:lang w:val="uk-UA"/>
        </w:rPr>
      </w:pPr>
    </w:p>
    <w:p w:rsidR="00AE5A63" w:rsidRPr="00937C7C" w:rsidRDefault="006D275E" w:rsidP="00CB752C">
      <w:pPr>
        <w:spacing w:after="0" w:line="360" w:lineRule="auto"/>
        <w:ind w:firstLine="709"/>
        <w:jc w:val="center"/>
        <w:rPr>
          <w:rFonts w:ascii="Times New Roman" w:hAnsi="Times New Roman" w:cs="Times New Roman"/>
          <w:b/>
          <w:sz w:val="28"/>
          <w:szCs w:val="28"/>
          <w:lang w:val="uk-UA"/>
        </w:rPr>
      </w:pPr>
      <w:r w:rsidRPr="00937C7C">
        <w:rPr>
          <w:rFonts w:ascii="Times New Roman" w:hAnsi="Times New Roman" w:cs="Times New Roman"/>
          <w:b/>
          <w:sz w:val="28"/>
          <w:szCs w:val="28"/>
          <w:lang w:val="uk-UA"/>
        </w:rPr>
        <w:t>Список використаних джерел</w:t>
      </w:r>
      <w:r w:rsidR="00AE5A63" w:rsidRPr="00937C7C">
        <w:rPr>
          <w:rFonts w:ascii="Times New Roman" w:hAnsi="Times New Roman" w:cs="Times New Roman"/>
          <w:b/>
          <w:sz w:val="28"/>
          <w:szCs w:val="28"/>
          <w:lang w:val="uk-UA"/>
        </w:rPr>
        <w:t>:</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Парижскаяконвенция</w:t>
      </w:r>
      <w:proofErr w:type="spellEnd"/>
      <w:r>
        <w:rPr>
          <w:rFonts w:ascii="Times New Roman" w:hAnsi="Times New Roman" w:cs="Times New Roman"/>
          <w:sz w:val="28"/>
          <w:szCs w:val="28"/>
          <w:lang w:val="uk-UA"/>
        </w:rPr>
        <w:t xml:space="preserve"> об </w:t>
      </w:r>
      <w:proofErr w:type="spellStart"/>
      <w:r>
        <w:rPr>
          <w:rFonts w:ascii="Times New Roman" w:hAnsi="Times New Roman" w:cs="Times New Roman"/>
          <w:sz w:val="28"/>
          <w:szCs w:val="28"/>
          <w:lang w:val="uk-UA"/>
        </w:rPr>
        <w:t>охранепром</w:t>
      </w:r>
      <w:r>
        <w:rPr>
          <w:rFonts w:ascii="Times New Roman" w:hAnsi="Times New Roman" w:cs="Times New Roman"/>
          <w:sz w:val="28"/>
          <w:szCs w:val="28"/>
        </w:rPr>
        <w:t>ышленной</w:t>
      </w:r>
      <w:proofErr w:type="spellEnd"/>
      <w:r>
        <w:rPr>
          <w:rFonts w:ascii="Times New Roman" w:hAnsi="Times New Roman" w:cs="Times New Roman"/>
          <w:sz w:val="28"/>
          <w:szCs w:val="28"/>
        </w:rPr>
        <w:t xml:space="preserve"> собственности </w:t>
      </w:r>
      <w:r>
        <w:rPr>
          <w:rFonts w:ascii="Times New Roman" w:hAnsi="Times New Roman" w:cs="Times New Roman"/>
          <w:sz w:val="28"/>
          <w:szCs w:val="28"/>
          <w:lang w:val="uk-UA"/>
        </w:rPr>
        <w:t xml:space="preserve">[Електронний ресурс]. – Режим доступу: </w:t>
      </w:r>
      <w:hyperlink r:id="rId6" w:history="1">
        <w:r w:rsidRPr="00944C90">
          <w:rPr>
            <w:rStyle w:val="a4"/>
            <w:rFonts w:ascii="Times New Roman" w:hAnsi="Times New Roman" w:cs="Times New Roman"/>
            <w:bCs/>
            <w:sz w:val="28"/>
            <w:szCs w:val="28"/>
            <w:lang w:val="uk-UA"/>
          </w:rPr>
          <w:t>https://wipolex.wipo.int/ru/treaties/textdetails/12633</w:t>
        </w:r>
      </w:hyperlink>
      <w:r>
        <w:rPr>
          <w:rFonts w:ascii="Times New Roman" w:hAnsi="Times New Roman" w:cs="Times New Roman"/>
          <w:sz w:val="28"/>
          <w:szCs w:val="28"/>
          <w:lang w:val="uk-UA"/>
        </w:rPr>
        <w:t>Дата звернення 15.10.2019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 Паризька конвенція про охорону промислової власності [Електронний ресурс]. –  Режим доступу: </w:t>
      </w:r>
      <w:hyperlink r:id="rId7" w:history="1">
        <w:r>
          <w:rPr>
            <w:rStyle w:val="a4"/>
            <w:rFonts w:ascii="Times New Roman" w:hAnsi="Times New Roman" w:cs="Times New Roman"/>
            <w:sz w:val="28"/>
            <w:szCs w:val="28"/>
            <w:lang w:val="uk-UA"/>
          </w:rPr>
          <w:t>http://zakon2.rada.gov.ua/laws/show/995_123/print</w:t>
        </w:r>
      </w:hyperlink>
      <w:r>
        <w:rPr>
          <w:rFonts w:ascii="Times New Roman" w:hAnsi="Times New Roman" w:cs="Times New Roman"/>
          <w:sz w:val="28"/>
          <w:szCs w:val="28"/>
          <w:lang w:val="uk-UA"/>
        </w:rPr>
        <w:t>. Дата звернення 15.10.2019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3. </w:t>
      </w:r>
      <w:hyperlink r:id="rId8" w:history="1">
        <w:r>
          <w:rPr>
            <w:rStyle w:val="a4"/>
            <w:rFonts w:ascii="Times New Roman" w:hAnsi="Times New Roman" w:cs="Times New Roman"/>
            <w:sz w:val="28"/>
            <w:szCs w:val="28"/>
            <w:bdr w:val="none" w:sz="0" w:space="0" w:color="auto" w:frame="1"/>
            <w:shd w:val="clear" w:color="auto" w:fill="FAFAFA"/>
          </w:rPr>
          <w:t>Страсбургское соглашение</w:t>
        </w:r>
      </w:hyperlink>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Международнойпатентнойклассификации</w:t>
      </w:r>
      <w:proofErr w:type="spellEnd"/>
      <w:r>
        <w:rPr>
          <w:rFonts w:ascii="Times New Roman" w:hAnsi="Times New Roman" w:cs="Times New Roman"/>
          <w:sz w:val="28"/>
          <w:szCs w:val="28"/>
          <w:lang w:val="uk-UA"/>
        </w:rPr>
        <w:t xml:space="preserve"> [Електронний ресурс]. – Режим доступу: </w:t>
      </w:r>
      <w:hyperlink r:id="rId9" w:history="1">
        <w:r>
          <w:rPr>
            <w:rStyle w:val="a4"/>
            <w:rFonts w:ascii="Times New Roman" w:hAnsi="Times New Roman" w:cs="Times New Roman"/>
            <w:sz w:val="28"/>
            <w:szCs w:val="28"/>
          </w:rPr>
          <w:t>https://wipolex.wipo.int/ru/treaties/textdetails/12675</w:t>
        </w:r>
      </w:hyperlink>
      <w:hyperlink r:id="rId10" w:history="1">
        <w:r>
          <w:rPr>
            <w:rStyle w:val="a4"/>
            <w:rFonts w:ascii="Times New Roman" w:hAnsi="Times New Roman" w:cs="Times New Roman"/>
            <w:sz w:val="28"/>
            <w:szCs w:val="28"/>
            <w:lang w:val="uk-UA"/>
          </w:rPr>
          <w:t>.</w:t>
        </w:r>
      </w:hyperlink>
      <w:r>
        <w:rPr>
          <w:rFonts w:ascii="Times New Roman" w:hAnsi="Times New Roman" w:cs="Times New Roman"/>
          <w:sz w:val="28"/>
          <w:szCs w:val="28"/>
          <w:lang w:val="uk-UA"/>
        </w:rPr>
        <w:t xml:space="preserve"> Дата звернення 15.10.2019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4. Страсбурзька угода про Міжнародну патентну класифікацію [Електронний ресурс]. –  Режим доступу: </w:t>
      </w:r>
      <w:hyperlink r:id="rId11" w:history="1">
        <w:r w:rsidRPr="008E6314">
          <w:rPr>
            <w:rStyle w:val="a4"/>
            <w:rFonts w:ascii="Times New Roman" w:hAnsi="Times New Roman" w:cs="Times New Roman"/>
            <w:sz w:val="28"/>
            <w:szCs w:val="28"/>
            <w:lang w:val="uk-UA"/>
          </w:rPr>
          <w:t>http://zakon2.rada.gov.ua/laws/show/ 999_001</w:t>
        </w:r>
      </w:hyperlink>
      <w:r>
        <w:rPr>
          <w:rStyle w:val="a4"/>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15.10.2019 р. - Назва з екрана.</w:t>
      </w:r>
    </w:p>
    <w:p w:rsidR="00944C90" w:rsidRDefault="00944C90" w:rsidP="00944C90">
      <w:pPr>
        <w:pStyle w:val="2"/>
        <w:shd w:val="clear" w:color="auto" w:fill="FAFAFA"/>
        <w:spacing w:before="0" w:line="420" w:lineRule="exact"/>
        <w:ind w:firstLine="709"/>
        <w:rPr>
          <w:rFonts w:ascii="Times New Roman" w:eastAsia="Calibri" w:hAnsi="Times New Roman" w:cs="Times New Roman"/>
          <w:color w:val="auto"/>
          <w:sz w:val="28"/>
          <w:szCs w:val="28"/>
          <w:lang w:val="uk-UA"/>
        </w:rPr>
      </w:pPr>
      <w:r>
        <w:rPr>
          <w:rFonts w:ascii="Times New Roman" w:hAnsi="Times New Roman"/>
          <w:color w:val="auto"/>
          <w:sz w:val="28"/>
          <w:szCs w:val="28"/>
        </w:rPr>
        <w:t>5. Договор о патентной кооперации (PCT) (измененный 3.10.2001 г.)</w:t>
      </w:r>
      <w:r>
        <w:rPr>
          <w:rFonts w:ascii="Times New Roman" w:eastAsia="Calibri" w:hAnsi="Times New Roman"/>
          <w:color w:val="auto"/>
          <w:sz w:val="28"/>
          <w:szCs w:val="28"/>
          <w:lang w:val="uk-UA"/>
        </w:rPr>
        <w:t>[Електронний ресурс]. –  Режим доступу:</w:t>
      </w:r>
      <w:r>
        <w:rPr>
          <w:rFonts w:ascii="Times New Roman" w:hAnsi="Times New Roman"/>
          <w:color w:val="auto"/>
          <w:sz w:val="28"/>
          <w:szCs w:val="28"/>
          <w:lang w:val="uk-UA"/>
        </w:rPr>
        <w:t xml:space="preserve"> (</w:t>
      </w:r>
      <w:hyperlink r:id="rId12" w:history="1">
        <w:r w:rsidRPr="008E6314">
          <w:rPr>
            <w:rStyle w:val="a4"/>
            <w:rFonts w:ascii="Times New Roman" w:hAnsi="Times New Roman"/>
            <w:sz w:val="28"/>
            <w:szCs w:val="28"/>
          </w:rPr>
          <w:t>https://wipolex.wipo.int/ru/treaties/textdetails/12635</w:t>
        </w:r>
      </w:hyperlink>
      <w:r>
        <w:rPr>
          <w:rFonts w:ascii="Times New Roman" w:hAnsi="Times New Roman"/>
          <w:color w:val="auto"/>
          <w:sz w:val="28"/>
          <w:szCs w:val="28"/>
          <w:lang w:val="uk-UA"/>
        </w:rPr>
        <w:t xml:space="preserve">). </w:t>
      </w:r>
      <w:r>
        <w:rPr>
          <w:rFonts w:ascii="Times New Roman" w:eastAsia="Calibri" w:hAnsi="Times New Roman"/>
          <w:color w:val="auto"/>
          <w:sz w:val="28"/>
          <w:szCs w:val="28"/>
          <w:lang w:val="uk-UA"/>
        </w:rPr>
        <w:t>Дата звернення 15.10.2019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6. Договір про патентну кооперацію (РСТ) Діючий з 1 квітня 2001.- [Електронний ресурс]. –  Режим доступу: </w:t>
      </w:r>
      <w:hyperlink r:id="rId13" w:history="1">
        <w:r w:rsidRPr="008E6314">
          <w:rPr>
            <w:rStyle w:val="a4"/>
            <w:rFonts w:ascii="Times New Roman" w:hAnsi="Times New Roman" w:cs="Times New Roman"/>
            <w:sz w:val="28"/>
            <w:szCs w:val="28"/>
            <w:lang w:val="uk-UA"/>
          </w:rPr>
          <w:t>http://zakon2.rada.gov.ua/ laws/show/895_001/print</w:t>
        </w:r>
      </w:hyperlink>
      <w:r>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10.02.2020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7. Договір про патентне право PLT [Електронний ресурс]. –  Режим доступу: </w:t>
      </w:r>
      <w:hyperlink r:id="rId14" w:history="1">
        <w:r>
          <w:rPr>
            <w:rStyle w:val="a4"/>
            <w:rFonts w:ascii="Times New Roman" w:hAnsi="Times New Roman" w:cs="Times New Roman"/>
            <w:bCs/>
            <w:sz w:val="28"/>
            <w:szCs w:val="28"/>
            <w:lang w:val="uk-UA"/>
          </w:rPr>
          <w:t>https://wipolex.wipo.int/ru/treaties/textdetails/12642</w:t>
        </w:r>
      </w:hyperlink>
      <w:r>
        <w:rPr>
          <w:rFonts w:ascii="Times New Roman" w:hAnsi="Times New Roman" w:cs="Times New Roman"/>
          <w:sz w:val="28"/>
          <w:szCs w:val="28"/>
          <w:lang w:val="uk-UA"/>
        </w:rPr>
        <w:t>. Дата звернення 10.02.2020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8. Договір про патентне право PLT [Електронний ресурс]. –  Режим доступу: </w:t>
      </w:r>
      <w:hyperlink r:id="rId15" w:history="1">
        <w:r>
          <w:rPr>
            <w:rStyle w:val="a4"/>
            <w:rFonts w:ascii="Times New Roman" w:hAnsi="Times New Roman" w:cs="Times New Roman"/>
            <w:sz w:val="28"/>
            <w:szCs w:val="28"/>
            <w:lang w:val="uk-UA"/>
          </w:rPr>
          <w:t>http://zakon3.rada.gov.ua/laws/show/895_002/print</w:t>
        </w:r>
      </w:hyperlink>
      <w:r>
        <w:rPr>
          <w:rFonts w:ascii="Times New Roman" w:hAnsi="Times New Roman" w:cs="Times New Roman"/>
          <w:sz w:val="28"/>
          <w:szCs w:val="28"/>
          <w:lang w:val="uk-UA"/>
        </w:rPr>
        <w:t>.Дата звернення 10.02.2020 р.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9. Будапештський договір про міжнародне визнання депонування мікроорганізмів з метою патентної процедури [Електронний ресурс]. –  Режим доступу: </w:t>
      </w:r>
      <w:hyperlink r:id="rId16" w:history="1">
        <w:r>
          <w:rPr>
            <w:rStyle w:val="a4"/>
            <w:rFonts w:ascii="Times New Roman" w:hAnsi="Times New Roman" w:cs="Times New Roman"/>
            <w:sz w:val="28"/>
            <w:szCs w:val="28"/>
            <w:lang w:val="uk-UA"/>
          </w:rPr>
          <w:t>https://wipolex.wipo.int/ru/treaties/textdetails/12246</w:t>
        </w:r>
      </w:hyperlink>
      <w:r>
        <w:rPr>
          <w:rFonts w:ascii="Times New Roman" w:hAnsi="Times New Roman" w:cs="Times New Roman"/>
          <w:sz w:val="28"/>
          <w:szCs w:val="28"/>
          <w:lang w:val="uk-UA"/>
        </w:rPr>
        <w:t xml:space="preserve"> . Дата звернення 10.02.2020 - Назва з екрана.</w:t>
      </w:r>
    </w:p>
    <w:p w:rsidR="00944C90" w:rsidRDefault="00944C90" w:rsidP="00944C90">
      <w:pPr>
        <w:tabs>
          <w:tab w:val="left" w:pos="851"/>
        </w:tabs>
        <w:overflowPunct w:val="0"/>
        <w:spacing w:after="0" w:line="420" w:lineRule="exact"/>
        <w:ind w:right="284"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10. Будапештський договір про міжнародне визнання депонування мікроорганізмів з метою патентної процедури [Електронний ресурс]. –  Режим доступу: </w:t>
      </w:r>
      <w:hyperlink r:id="rId17" w:history="1">
        <w:r>
          <w:rPr>
            <w:rStyle w:val="a4"/>
            <w:rFonts w:ascii="Times New Roman" w:hAnsi="Times New Roman" w:cs="Times New Roman"/>
            <w:sz w:val="28"/>
            <w:szCs w:val="28"/>
            <w:lang w:val="uk-UA"/>
          </w:rPr>
          <w:t>http://zakon2.rada.gov.ua/laws/show/995_039/print</w:t>
        </w:r>
      </w:hyperlink>
      <w:r>
        <w:rPr>
          <w:rFonts w:ascii="Times New Roman" w:hAnsi="Times New Roman" w:cs="Times New Roman"/>
          <w:sz w:val="28"/>
          <w:szCs w:val="28"/>
          <w:lang w:val="uk-UA"/>
        </w:rPr>
        <w:t>.Дата звернення 10.02.2020 - Назва з екрана.</w:t>
      </w:r>
    </w:p>
    <w:p w:rsidR="000A0AB5" w:rsidRPr="00CB752C" w:rsidRDefault="000A0AB5" w:rsidP="00CB752C">
      <w:pPr>
        <w:spacing w:after="0" w:line="360" w:lineRule="auto"/>
        <w:ind w:firstLine="709"/>
        <w:jc w:val="both"/>
        <w:rPr>
          <w:rFonts w:ascii="Times New Roman" w:hAnsi="Times New Roman" w:cs="Times New Roman"/>
          <w:sz w:val="28"/>
          <w:szCs w:val="28"/>
          <w:lang w:val="uk-UA"/>
        </w:rPr>
      </w:pPr>
    </w:p>
    <w:sectPr w:rsidR="000A0AB5" w:rsidRPr="00CB752C" w:rsidSect="00CB752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4152"/>
    <w:multiLevelType w:val="hybridMultilevel"/>
    <w:tmpl w:val="584CD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F94856"/>
    <w:multiLevelType w:val="hybridMultilevel"/>
    <w:tmpl w:val="B524B0EE"/>
    <w:lvl w:ilvl="0" w:tplc="F550BD2C">
      <w:start w:val="9"/>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20411128"/>
    <w:multiLevelType w:val="multilevel"/>
    <w:tmpl w:val="9E3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0C2B78"/>
    <w:multiLevelType w:val="hybridMultilevel"/>
    <w:tmpl w:val="B68A81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DCF22A8"/>
    <w:multiLevelType w:val="hybridMultilevel"/>
    <w:tmpl w:val="6046D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324304"/>
    <w:multiLevelType w:val="hybridMultilevel"/>
    <w:tmpl w:val="50D2FC64"/>
    <w:lvl w:ilvl="0" w:tplc="85EE5C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763BDF"/>
    <w:multiLevelType w:val="multilevel"/>
    <w:tmpl w:val="0FD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357D2B"/>
    <w:multiLevelType w:val="hybridMultilevel"/>
    <w:tmpl w:val="41780A36"/>
    <w:lvl w:ilvl="0" w:tplc="1DF460A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5E1F1D88"/>
    <w:multiLevelType w:val="hybridMultilevel"/>
    <w:tmpl w:val="4E1258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24878"/>
    <w:multiLevelType w:val="multilevel"/>
    <w:tmpl w:val="E82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7540E8"/>
    <w:multiLevelType w:val="multilevel"/>
    <w:tmpl w:val="660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DA3C41"/>
    <w:multiLevelType w:val="hybridMultilevel"/>
    <w:tmpl w:val="B5B0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0"/>
  </w:num>
  <w:num w:numId="5">
    <w:abstractNumId w:val="2"/>
  </w:num>
  <w:num w:numId="6">
    <w:abstractNumId w:val="8"/>
  </w:num>
  <w:num w:numId="7">
    <w:abstractNumId w:val="3"/>
  </w:num>
  <w:num w:numId="8">
    <w:abstractNumId w:val="6"/>
  </w:num>
  <w:num w:numId="9">
    <w:abstractNumId w:val="7"/>
  </w:num>
  <w:num w:numId="10">
    <w:abstractNumId w:val="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33396"/>
    <w:rsid w:val="00030579"/>
    <w:rsid w:val="00034DC6"/>
    <w:rsid w:val="00087A52"/>
    <w:rsid w:val="000A0AB5"/>
    <w:rsid w:val="000A4268"/>
    <w:rsid w:val="00117745"/>
    <w:rsid w:val="00131FB5"/>
    <w:rsid w:val="00132407"/>
    <w:rsid w:val="00133396"/>
    <w:rsid w:val="00140F03"/>
    <w:rsid w:val="00167EB8"/>
    <w:rsid w:val="001D1880"/>
    <w:rsid w:val="002449E7"/>
    <w:rsid w:val="002721D2"/>
    <w:rsid w:val="00280D97"/>
    <w:rsid w:val="002E477F"/>
    <w:rsid w:val="0030207E"/>
    <w:rsid w:val="003152A6"/>
    <w:rsid w:val="00317DD1"/>
    <w:rsid w:val="00386970"/>
    <w:rsid w:val="003A146A"/>
    <w:rsid w:val="00406D7B"/>
    <w:rsid w:val="004336E1"/>
    <w:rsid w:val="00497824"/>
    <w:rsid w:val="004A2648"/>
    <w:rsid w:val="004C5650"/>
    <w:rsid w:val="00524D34"/>
    <w:rsid w:val="005A2C3C"/>
    <w:rsid w:val="005D1C11"/>
    <w:rsid w:val="00610583"/>
    <w:rsid w:val="006441D9"/>
    <w:rsid w:val="00653236"/>
    <w:rsid w:val="006A715B"/>
    <w:rsid w:val="006C1946"/>
    <w:rsid w:val="006C58B8"/>
    <w:rsid w:val="006D275E"/>
    <w:rsid w:val="006F70B4"/>
    <w:rsid w:val="00746B9F"/>
    <w:rsid w:val="00781BA0"/>
    <w:rsid w:val="007861D5"/>
    <w:rsid w:val="007B61C5"/>
    <w:rsid w:val="007D636B"/>
    <w:rsid w:val="00874716"/>
    <w:rsid w:val="008D3BE4"/>
    <w:rsid w:val="008F48C9"/>
    <w:rsid w:val="00937C7C"/>
    <w:rsid w:val="00944C90"/>
    <w:rsid w:val="00985D58"/>
    <w:rsid w:val="009878AD"/>
    <w:rsid w:val="009B5E80"/>
    <w:rsid w:val="00A37594"/>
    <w:rsid w:val="00A57D1B"/>
    <w:rsid w:val="00A7540F"/>
    <w:rsid w:val="00A82634"/>
    <w:rsid w:val="00A86E08"/>
    <w:rsid w:val="00A96285"/>
    <w:rsid w:val="00AE5A63"/>
    <w:rsid w:val="00AF7418"/>
    <w:rsid w:val="00B229C2"/>
    <w:rsid w:val="00B26DCC"/>
    <w:rsid w:val="00B433A1"/>
    <w:rsid w:val="00BF5671"/>
    <w:rsid w:val="00C1775A"/>
    <w:rsid w:val="00C30E58"/>
    <w:rsid w:val="00C616A4"/>
    <w:rsid w:val="00CB752C"/>
    <w:rsid w:val="00CF4D7F"/>
    <w:rsid w:val="00D63F0A"/>
    <w:rsid w:val="00E33627"/>
    <w:rsid w:val="00E65AEF"/>
    <w:rsid w:val="00E7541F"/>
    <w:rsid w:val="00EB2804"/>
    <w:rsid w:val="00ED5AF1"/>
    <w:rsid w:val="00F14B2A"/>
    <w:rsid w:val="00F7360D"/>
    <w:rsid w:val="00F85D84"/>
    <w:rsid w:val="00F93961"/>
    <w:rsid w:val="00FE2986"/>
    <w:rsid w:val="00FF2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04"/>
  </w:style>
  <w:style w:type="paragraph" w:styleId="1">
    <w:name w:val="heading 1"/>
    <w:basedOn w:val="a"/>
    <w:link w:val="10"/>
    <w:uiPriority w:val="9"/>
    <w:qFormat/>
    <w:rsid w:val="00AE5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4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0D"/>
    <w:pPr>
      <w:ind w:left="720"/>
      <w:contextualSpacing/>
    </w:pPr>
  </w:style>
  <w:style w:type="character" w:styleId="a4">
    <w:name w:val="Hyperlink"/>
    <w:basedOn w:val="a0"/>
    <w:uiPriority w:val="99"/>
    <w:unhideWhenUsed/>
    <w:rsid w:val="00AE5A63"/>
    <w:rPr>
      <w:color w:val="0000FF"/>
      <w:u w:val="single"/>
    </w:rPr>
  </w:style>
  <w:style w:type="character" w:customStyle="1" w:styleId="10">
    <w:name w:val="Заголовок 1 Знак"/>
    <w:basedOn w:val="a0"/>
    <w:link w:val="1"/>
    <w:uiPriority w:val="9"/>
    <w:rsid w:val="00AE5A63"/>
    <w:rPr>
      <w:rFonts w:ascii="Times New Roman" w:eastAsia="Times New Roman" w:hAnsi="Times New Roman" w:cs="Times New Roman"/>
      <w:b/>
      <w:bCs/>
      <w:kern w:val="36"/>
      <w:sz w:val="48"/>
      <w:szCs w:val="48"/>
      <w:lang w:eastAsia="ru-RU"/>
    </w:rPr>
  </w:style>
  <w:style w:type="paragraph" w:customStyle="1" w:styleId="a5">
    <w:name w:val="Література"/>
    <w:basedOn w:val="a"/>
    <w:link w:val="a6"/>
    <w:qFormat/>
    <w:rsid w:val="00781BA0"/>
    <w:pPr>
      <w:spacing w:after="0" w:line="240" w:lineRule="auto"/>
      <w:ind w:firstLine="539"/>
      <w:jc w:val="both"/>
    </w:pPr>
    <w:rPr>
      <w:rFonts w:ascii="Times New Roman" w:eastAsia="Times New Roman" w:hAnsi="Times New Roman" w:cs="Times New Roman"/>
      <w:sz w:val="24"/>
      <w:szCs w:val="24"/>
      <w:lang w:val="uk-UA" w:eastAsia="uk-UA"/>
    </w:rPr>
  </w:style>
  <w:style w:type="character" w:customStyle="1" w:styleId="a6">
    <w:name w:val="Література Знак"/>
    <w:link w:val="a5"/>
    <w:rsid w:val="00781BA0"/>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2449E7"/>
    <w:rPr>
      <w:rFonts w:asciiTheme="majorHAnsi" w:eastAsiaTheme="majorEastAsia" w:hAnsiTheme="majorHAnsi" w:cstheme="majorBidi"/>
      <w:color w:val="2E74B5" w:themeColor="accent1" w:themeShade="BF"/>
      <w:sz w:val="26"/>
      <w:szCs w:val="26"/>
    </w:rPr>
  </w:style>
  <w:style w:type="character" w:customStyle="1" w:styleId="citation">
    <w:name w:val="citation"/>
    <w:basedOn w:val="a0"/>
    <w:rsid w:val="00317DD1"/>
  </w:style>
  <w:style w:type="character" w:customStyle="1" w:styleId="ref-info">
    <w:name w:val="ref-info"/>
    <w:basedOn w:val="a0"/>
    <w:rsid w:val="00317DD1"/>
  </w:style>
  <w:style w:type="character" w:customStyle="1" w:styleId="name">
    <w:name w:val="name"/>
    <w:basedOn w:val="a0"/>
    <w:rsid w:val="008D3BE4"/>
  </w:style>
  <w:style w:type="character" w:styleId="a7">
    <w:name w:val="FollowedHyperlink"/>
    <w:basedOn w:val="a0"/>
    <w:uiPriority w:val="99"/>
    <w:semiHidden/>
    <w:unhideWhenUsed/>
    <w:rsid w:val="008D3BE4"/>
    <w:rPr>
      <w:color w:val="954F72" w:themeColor="followedHyperlink"/>
      <w:u w:val="single"/>
    </w:rPr>
  </w:style>
  <w:style w:type="character" w:customStyle="1" w:styleId="UnresolvedMention">
    <w:name w:val="Unresolved Mention"/>
    <w:basedOn w:val="a0"/>
    <w:uiPriority w:val="99"/>
    <w:semiHidden/>
    <w:unhideWhenUsed/>
    <w:rsid w:val="006D275E"/>
    <w:rPr>
      <w:color w:val="605E5C"/>
      <w:shd w:val="clear" w:color="auto" w:fill="E1DFDD"/>
    </w:rPr>
  </w:style>
  <w:style w:type="paragraph" w:customStyle="1" w:styleId="Normal1">
    <w:name w:val="Normal1"/>
    <w:uiPriority w:val="99"/>
    <w:rsid w:val="00E7541F"/>
    <w:pPr>
      <w:spacing w:after="0" w:line="240" w:lineRule="auto"/>
    </w:pPr>
    <w:rPr>
      <w:rFonts w:ascii="Times New Roman" w:eastAsia="Times New Roman" w:hAnsi="Times New Roman" w:cs="Times New Roman"/>
      <w:color w:val="000000"/>
      <w:sz w:val="20"/>
      <w:szCs w:val="20"/>
      <w:lang w:val="uk-UA" w:eastAsia="ru-RU"/>
    </w:rPr>
  </w:style>
  <w:style w:type="paragraph" w:customStyle="1" w:styleId="a8">
    <w:name w:val="Підпис"/>
    <w:basedOn w:val="a"/>
    <w:rsid w:val="007D636B"/>
    <w:pPr>
      <w:tabs>
        <w:tab w:val="left" w:pos="540"/>
      </w:tabs>
      <w:spacing w:after="0" w:line="240" w:lineRule="auto"/>
      <w:jc w:val="center"/>
    </w:pPr>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rsid w:val="00A82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263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71507">
      <w:bodyDiv w:val="1"/>
      <w:marLeft w:val="0"/>
      <w:marRight w:val="0"/>
      <w:marTop w:val="0"/>
      <w:marBottom w:val="0"/>
      <w:divBdr>
        <w:top w:val="none" w:sz="0" w:space="0" w:color="auto"/>
        <w:left w:val="none" w:sz="0" w:space="0" w:color="auto"/>
        <w:bottom w:val="none" w:sz="0" w:space="0" w:color="auto"/>
        <w:right w:val="none" w:sz="0" w:space="0" w:color="auto"/>
      </w:divBdr>
    </w:div>
    <w:div w:id="125704066">
      <w:bodyDiv w:val="1"/>
      <w:marLeft w:val="0"/>
      <w:marRight w:val="0"/>
      <w:marTop w:val="0"/>
      <w:marBottom w:val="0"/>
      <w:divBdr>
        <w:top w:val="none" w:sz="0" w:space="0" w:color="auto"/>
        <w:left w:val="none" w:sz="0" w:space="0" w:color="auto"/>
        <w:bottom w:val="none" w:sz="0" w:space="0" w:color="auto"/>
        <w:right w:val="none" w:sz="0" w:space="0" w:color="auto"/>
      </w:divBdr>
    </w:div>
    <w:div w:id="164131058">
      <w:bodyDiv w:val="1"/>
      <w:marLeft w:val="0"/>
      <w:marRight w:val="0"/>
      <w:marTop w:val="0"/>
      <w:marBottom w:val="0"/>
      <w:divBdr>
        <w:top w:val="none" w:sz="0" w:space="0" w:color="auto"/>
        <w:left w:val="none" w:sz="0" w:space="0" w:color="auto"/>
        <w:bottom w:val="none" w:sz="0" w:space="0" w:color="auto"/>
        <w:right w:val="none" w:sz="0" w:space="0" w:color="auto"/>
      </w:divBdr>
    </w:div>
    <w:div w:id="213583262">
      <w:bodyDiv w:val="1"/>
      <w:marLeft w:val="0"/>
      <w:marRight w:val="0"/>
      <w:marTop w:val="0"/>
      <w:marBottom w:val="0"/>
      <w:divBdr>
        <w:top w:val="none" w:sz="0" w:space="0" w:color="auto"/>
        <w:left w:val="none" w:sz="0" w:space="0" w:color="auto"/>
        <w:bottom w:val="none" w:sz="0" w:space="0" w:color="auto"/>
        <w:right w:val="none" w:sz="0" w:space="0" w:color="auto"/>
      </w:divBdr>
      <w:divsChild>
        <w:div w:id="411850251">
          <w:marLeft w:val="0"/>
          <w:marRight w:val="0"/>
          <w:marTop w:val="0"/>
          <w:marBottom w:val="0"/>
          <w:divBdr>
            <w:top w:val="none" w:sz="0" w:space="0" w:color="auto"/>
            <w:left w:val="none" w:sz="0" w:space="0" w:color="auto"/>
            <w:bottom w:val="none" w:sz="0" w:space="0" w:color="auto"/>
            <w:right w:val="none" w:sz="0" w:space="0" w:color="auto"/>
          </w:divBdr>
          <w:divsChild>
            <w:div w:id="15645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6837">
      <w:bodyDiv w:val="1"/>
      <w:marLeft w:val="0"/>
      <w:marRight w:val="0"/>
      <w:marTop w:val="0"/>
      <w:marBottom w:val="0"/>
      <w:divBdr>
        <w:top w:val="none" w:sz="0" w:space="0" w:color="auto"/>
        <w:left w:val="none" w:sz="0" w:space="0" w:color="auto"/>
        <w:bottom w:val="none" w:sz="0" w:space="0" w:color="auto"/>
        <w:right w:val="none" w:sz="0" w:space="0" w:color="auto"/>
      </w:divBdr>
    </w:div>
    <w:div w:id="457140119">
      <w:bodyDiv w:val="1"/>
      <w:marLeft w:val="0"/>
      <w:marRight w:val="0"/>
      <w:marTop w:val="0"/>
      <w:marBottom w:val="0"/>
      <w:divBdr>
        <w:top w:val="none" w:sz="0" w:space="0" w:color="auto"/>
        <w:left w:val="none" w:sz="0" w:space="0" w:color="auto"/>
        <w:bottom w:val="none" w:sz="0" w:space="0" w:color="auto"/>
        <w:right w:val="none" w:sz="0" w:space="0" w:color="auto"/>
      </w:divBdr>
    </w:div>
    <w:div w:id="542180567">
      <w:bodyDiv w:val="1"/>
      <w:marLeft w:val="0"/>
      <w:marRight w:val="0"/>
      <w:marTop w:val="0"/>
      <w:marBottom w:val="0"/>
      <w:divBdr>
        <w:top w:val="none" w:sz="0" w:space="0" w:color="auto"/>
        <w:left w:val="none" w:sz="0" w:space="0" w:color="auto"/>
        <w:bottom w:val="none" w:sz="0" w:space="0" w:color="auto"/>
        <w:right w:val="none" w:sz="0" w:space="0" w:color="auto"/>
      </w:divBdr>
    </w:div>
    <w:div w:id="636643787">
      <w:bodyDiv w:val="1"/>
      <w:marLeft w:val="0"/>
      <w:marRight w:val="0"/>
      <w:marTop w:val="0"/>
      <w:marBottom w:val="0"/>
      <w:divBdr>
        <w:top w:val="none" w:sz="0" w:space="0" w:color="auto"/>
        <w:left w:val="none" w:sz="0" w:space="0" w:color="auto"/>
        <w:bottom w:val="none" w:sz="0" w:space="0" w:color="auto"/>
        <w:right w:val="none" w:sz="0" w:space="0" w:color="auto"/>
      </w:divBdr>
    </w:div>
    <w:div w:id="1118839086">
      <w:bodyDiv w:val="1"/>
      <w:marLeft w:val="0"/>
      <w:marRight w:val="0"/>
      <w:marTop w:val="0"/>
      <w:marBottom w:val="0"/>
      <w:divBdr>
        <w:top w:val="none" w:sz="0" w:space="0" w:color="auto"/>
        <w:left w:val="none" w:sz="0" w:space="0" w:color="auto"/>
        <w:bottom w:val="none" w:sz="0" w:space="0" w:color="auto"/>
        <w:right w:val="none" w:sz="0" w:space="0" w:color="auto"/>
      </w:divBdr>
    </w:div>
    <w:div w:id="1315525273">
      <w:bodyDiv w:val="1"/>
      <w:marLeft w:val="0"/>
      <w:marRight w:val="0"/>
      <w:marTop w:val="0"/>
      <w:marBottom w:val="0"/>
      <w:divBdr>
        <w:top w:val="none" w:sz="0" w:space="0" w:color="auto"/>
        <w:left w:val="none" w:sz="0" w:space="0" w:color="auto"/>
        <w:bottom w:val="none" w:sz="0" w:space="0" w:color="auto"/>
        <w:right w:val="none" w:sz="0" w:space="0" w:color="auto"/>
      </w:divBdr>
    </w:div>
    <w:div w:id="1386560657">
      <w:bodyDiv w:val="1"/>
      <w:marLeft w:val="0"/>
      <w:marRight w:val="0"/>
      <w:marTop w:val="0"/>
      <w:marBottom w:val="0"/>
      <w:divBdr>
        <w:top w:val="none" w:sz="0" w:space="0" w:color="auto"/>
        <w:left w:val="none" w:sz="0" w:space="0" w:color="auto"/>
        <w:bottom w:val="none" w:sz="0" w:space="0" w:color="auto"/>
        <w:right w:val="none" w:sz="0" w:space="0" w:color="auto"/>
      </w:divBdr>
    </w:div>
    <w:div w:id="1993366027">
      <w:bodyDiv w:val="1"/>
      <w:marLeft w:val="0"/>
      <w:marRight w:val="0"/>
      <w:marTop w:val="0"/>
      <w:marBottom w:val="0"/>
      <w:divBdr>
        <w:top w:val="none" w:sz="0" w:space="0" w:color="auto"/>
        <w:left w:val="none" w:sz="0" w:space="0" w:color="auto"/>
        <w:bottom w:val="none" w:sz="0" w:space="0" w:color="auto"/>
        <w:right w:val="none" w:sz="0" w:space="0" w:color="auto"/>
      </w:divBdr>
    </w:div>
    <w:div w:id="2026471196">
      <w:bodyDiv w:val="1"/>
      <w:marLeft w:val="0"/>
      <w:marRight w:val="0"/>
      <w:marTop w:val="0"/>
      <w:marBottom w:val="0"/>
      <w:divBdr>
        <w:top w:val="none" w:sz="0" w:space="0" w:color="auto"/>
        <w:left w:val="none" w:sz="0" w:space="0" w:color="auto"/>
        <w:bottom w:val="none" w:sz="0" w:space="0" w:color="auto"/>
        <w:right w:val="none" w:sz="0" w:space="0" w:color="auto"/>
      </w:divBdr>
    </w:div>
    <w:div w:id="2082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treaties/ru/classification/strasbourg/" TargetMode="External"/><Relationship Id="rId13" Type="http://schemas.openxmlformats.org/officeDocument/2006/relationships/hyperlink" Target="http://zakon2.rada.gov.ua/%20laws/show/895_001/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995_123/print" TargetMode="External"/><Relationship Id="rId12" Type="http://schemas.openxmlformats.org/officeDocument/2006/relationships/hyperlink" Target="https://wipolex.wipo.int/ru/treaties/%20textdetails/12635" TargetMode="External"/><Relationship Id="rId17" Type="http://schemas.openxmlformats.org/officeDocument/2006/relationships/hyperlink" Target="http://zakon2.rada.gov.ua/laws/show/995_039/print" TargetMode="External"/><Relationship Id="rId2" Type="http://schemas.openxmlformats.org/officeDocument/2006/relationships/numbering" Target="numbering.xml"/><Relationship Id="rId16" Type="http://schemas.openxmlformats.org/officeDocument/2006/relationships/hyperlink" Target="https://wipolex.wipo.int/ru/treaties/textdetails/12246" TargetMode="External"/><Relationship Id="rId1" Type="http://schemas.openxmlformats.org/officeDocument/2006/relationships/customXml" Target="../customXml/item1.xml"/><Relationship Id="rId6" Type="http://schemas.openxmlformats.org/officeDocument/2006/relationships/hyperlink" Target="https://wipolex.wipo.int/ru/treaties/textdetails/12633" TargetMode="External"/><Relationship Id="rId11" Type="http://schemas.openxmlformats.org/officeDocument/2006/relationships/hyperlink" Target="http://zakon2.rada.gov.ua/laws/show/%20999_001" TargetMode="External"/><Relationship Id="rId5" Type="http://schemas.openxmlformats.org/officeDocument/2006/relationships/webSettings" Target="webSettings.xml"/><Relationship Id="rId15" Type="http://schemas.openxmlformats.org/officeDocument/2006/relationships/hyperlink" Target="http://zakon3.rada.gov.ua/laws/show/895_002/print" TargetMode="External"/><Relationship Id="rId10" Type="http://schemas.openxmlformats.org/officeDocument/2006/relationships/hyperlink" Target="http://zakon2.rada.gov.ua/laws/show/999_001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polex.wipo.int/ru/treaties/textdetails/12675" TargetMode="External"/><Relationship Id="rId14" Type="http://schemas.openxmlformats.org/officeDocument/2006/relationships/hyperlink" Target="https://wipolex.wipo.int/ru/treaties/textdetails/12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074C-1B99-46B0-9E0D-16CC2DC6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Belov</dc:creator>
  <cp:lastModifiedBy>AMK</cp:lastModifiedBy>
  <cp:revision>2</cp:revision>
  <dcterms:created xsi:type="dcterms:W3CDTF">2020-05-18T12:47:00Z</dcterms:created>
  <dcterms:modified xsi:type="dcterms:W3CDTF">2020-05-18T12:47:00Z</dcterms:modified>
</cp:coreProperties>
</file>